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S3 — Diagnostic Performance and Extended Interpretability</w:t>
      </w:r>
    </w:p>
    <w:p>
      <w:r>
        <w:t>Supplementary Figure S3. Diagnostic metrics, extended feature importance, and forest plots</w:t>
      </w:r>
    </w:p>
    <w:p>
      <w:r>
        <w:t>Panel S3A. Diagnostic statistics</w:t>
      </w:r>
    </w:p>
    <w:p>
      <w:r>
        <w:t>This panel summarizes sensitivity, specificity, and predictive values at the optimal Youden-index threshold for each model, illustrating diagnostic performance across clinically relevant cut-points.</w:t>
      </w:r>
    </w:p>
    <w:p>
      <w:r>
        <w:drawing>
          <wp:inline xmlns:a="http://schemas.openxmlformats.org/drawingml/2006/main" xmlns:pic="http://schemas.openxmlformats.org/drawingml/2006/picture">
            <wp:extent cx="5486400" cy="2516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3a_Diagnostic_po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0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3a_Diagnostic_mort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520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3a_Diagnostic_compo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——————————</w:t>
      </w:r>
    </w:p>
    <w:p>
      <w:r>
        <w:t>Panel S3B. Extended feature importance</w:t>
      </w:r>
    </w:p>
    <w:p>
      <w:r>
        <w:t>Feature importance derived from tree-based models (random forest and XGBoost) is presented. The most influential features align with LASSO-selected variables and reflect key physiologic domains.</w:t>
      </w:r>
    </w:p>
    <w:p>
      <w:r>
        <w:drawing>
          <wp:inline xmlns:a="http://schemas.openxmlformats.org/drawingml/2006/main" xmlns:pic="http://schemas.openxmlformats.org/drawingml/2006/picture">
            <wp:extent cx="5486400" cy="4537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3b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——————————</w:t>
      </w:r>
    </w:p>
    <w:p>
      <w:r>
        <w:t>Panel S3C. Forest plot</w:t>
      </w:r>
    </w:p>
    <w:p>
      <w:r>
        <w:t>Multivariable logistic regression–based odds ratios with 95% confidence intervals are shown for major predictors of POF. Renal dysfunction, impaired oxygenation, and acid–base abnormalities were consistently associated with higher risk.</w:t>
      </w:r>
    </w:p>
    <w:p>
      <w:r>
        <w:drawing>
          <wp:inline xmlns:a="http://schemas.openxmlformats.org/drawingml/2006/main" xmlns:pic="http://schemas.openxmlformats.org/drawingml/2006/picture">
            <wp:extent cx="5486400" cy="4545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3c_forest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59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