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 S2 — Internal Validation</w:t>
      </w:r>
    </w:p>
    <w:p>
      <w:r>
        <w:t>Supplementary Figure S2. ROC and calibration curves in the internal validation cohort</w:t>
      </w:r>
    </w:p>
    <w:p>
      <w:r>
        <w:t>Panel S2A. ROC curves</w:t>
      </w:r>
    </w:p>
    <w:p>
      <w:r>
        <w:t>ROC curves for POF, 28-day mortality, and the composite endpoint in the MIMIC-IV internal validation cohort are shown. All models demonstrated good discriminative performance, with AUC values typically ranging from 0.82 to 0.88.</w:t>
      </w:r>
    </w:p>
    <w:p>
      <w:r>
        <w:drawing>
          <wp:inline xmlns:a="http://schemas.openxmlformats.org/drawingml/2006/main" xmlns:pic="http://schemas.openxmlformats.org/drawingml/2006/picture">
            <wp:extent cx="5486400" cy="4543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2a_ROC_po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5431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2a_ROC_morta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5431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2a_ROC_composi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——————————</w:t>
      </w:r>
    </w:p>
    <w:p>
      <w:r>
        <w:t>Panel S2B. Calibration curves</w:t>
      </w:r>
    </w:p>
    <w:p>
      <w:r>
        <w:t>Calibration plots compare predicted and observed risks. Curves close to the reference line indicate good calibration; mild underestimation was observed in the high-risk range.</w:t>
      </w:r>
    </w:p>
    <w:p>
      <w:r>
        <w:drawing>
          <wp:inline xmlns:a="http://schemas.openxmlformats.org/drawingml/2006/main" xmlns:pic="http://schemas.openxmlformats.org/drawingml/2006/picture">
            <wp:extent cx="5486400" cy="45377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2b_Calibration_po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7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5377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2b_Calibration_morta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7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5377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2b_Calibration_composi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774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