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2. Par o impar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necesita un algoritmo que informe si un número ingresado es </w:t>
      </w:r>
      <w:r w:rsidDel="00000000" w:rsidR="00000000" w:rsidRPr="00000000">
        <w:rPr>
          <w:b w:val="1"/>
          <w:bCs w:val="1"/>
          <w:rtl w:val="0"/>
        </w:rPr>
        <w:t xml:space="preserve">PAR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IMPAR</w:t>
      </w:r>
      <w:r w:rsidDel="00000000" w:rsidR="00000000" w:rsidRPr="00000000">
        <w:rPr>
          <w:rtl w:val="0"/>
        </w:rPr>
        <w:t xml:space="preserve"> mediante un mensaje.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Brindar si un número es par o impar.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Número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Decir si es par o impar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 MOD 2 = 0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ESTRATEGIA: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15"/>
        <w:gridCol w:w="1910"/>
        <w:tblGridChange w:id="0">
          <w:tblGrid>
            <w:gridCol w:w="1460"/>
            <w:gridCol w:w="81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PSEUDOCODIGO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SEGUIMIENTO: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3524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