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Estado del proyecto de adopción de Copilot</w:t>
      </w:r>
    </w:p>
    <w:p>
      <w:pPr>
        <w:pStyle w:val="Subtitle"/>
      </w:pPr>
      <w:r>
        <w:t>Proyecto Impulso IA · Informe de seguimiento</w:t>
      </w:r>
    </w:p>
    <w:p>
      <w:r>
        <w:t>Fecha: 21 de octubre de 2026  |  Periodo: 5 al 20 de octubre  |  Versión: 1.0</w:t>
      </w:r>
    </w:p>
    <w:p>
      <w:r>
        <w:rPr>
          <w:b/>
        </w:rPr>
        <w:t xml:space="preserve">Ejemplo completamente ficticio. </w:t>
      </w:r>
      <w:r>
        <w:t>La organización, las cifras, los resultados y las decisiones de este informe son inventados y se incluyen únicamente para pruebas y demostraciones. No contiene datos reales ni confidenciales.</w:t>
      </w:r>
    </w:p>
    <w:p>
      <w:pPr>
        <w:pStyle w:val="Heading1"/>
      </w:pPr>
      <w:r>
        <w:t>1. Resumen ejecutivo</w:t>
      </w:r>
    </w:p>
    <w:p>
      <w:r>
        <w:t>Nexora Servicios ha completado la primera fase del piloto de Microsoft 365 Copilot con 60 participantes de las áreas Comercial, Operaciones y Recursos Humanos. El proyecto avanza con atención a la adopción: la preparación inicial está completada, pero el uso recurrente todavía no alcanza el objetivo previsto.</w:t>
      </w:r>
    </w:p>
    <w:p>
      <w:r>
        <w:t>La prioridad de las próximas dos semanas es reforzar el acompañamiento por casos de uso y cerrar la revisión de permisos de los espacios documentales incluidos en el piloto. La ampliación a otros equipos queda pendiente de la evaluación final.</w:t>
      </w:r>
    </w:p>
    <w:p>
      <w:pPr>
        <w:pStyle w:val="Heading1"/>
      </w:pPr>
      <w:r>
        <w:t>2. Indicadores del piloto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Indicador</w:t>
            </w:r>
          </w:p>
        </w:tc>
        <w:tc>
          <w:tcPr>
            <w:tcW w:type="dxa" w:w="3312"/>
          </w:tcPr>
          <w:p>
            <w:r>
              <w:t>Resultado ficticio</w:t>
            </w:r>
          </w:p>
        </w:tc>
        <w:tc>
          <w:tcPr>
            <w:tcW w:type="dxa" w:w="3312"/>
          </w:tcPr>
          <w:p>
            <w:r>
              <w:t>Objetivo del piloto</w:t>
            </w:r>
          </w:p>
        </w:tc>
      </w:tr>
      <w:tr>
        <w:tc>
          <w:tcPr>
            <w:tcW w:type="dxa" w:w="3312"/>
          </w:tcPr>
          <w:p>
            <w:r>
              <w:t>Participantes incorporados</w:t>
            </w:r>
          </w:p>
        </w:tc>
        <w:tc>
          <w:tcPr>
            <w:tcW w:type="dxa" w:w="3312"/>
          </w:tcPr>
          <w:p>
            <w:r>
              <w:t>60 de 60</w:t>
            </w:r>
          </w:p>
        </w:tc>
        <w:tc>
          <w:tcPr>
            <w:tcW w:type="dxa" w:w="3312"/>
          </w:tcPr>
          <w:p>
            <w:r>
              <w:t>60</w:t>
            </w:r>
          </w:p>
        </w:tc>
      </w:tr>
      <w:tr>
        <w:tc>
          <w:tcPr>
            <w:tcW w:type="dxa" w:w="3312"/>
          </w:tcPr>
          <w:p>
            <w:r>
              <w:t>Formación inicial completada</w:t>
            </w:r>
          </w:p>
        </w:tc>
        <w:tc>
          <w:tcPr>
            <w:tcW w:type="dxa" w:w="3312"/>
          </w:tcPr>
          <w:p>
            <w:r>
              <w:t>48 de 60 (80 %)</w:t>
            </w:r>
          </w:p>
        </w:tc>
        <w:tc>
          <w:tcPr>
            <w:tcW w:type="dxa" w:w="3312"/>
          </w:tcPr>
          <w:p>
            <w:r>
              <w:t>54 de 60 (90 %)</w:t>
            </w:r>
          </w:p>
        </w:tc>
      </w:tr>
      <w:tr>
        <w:tc>
          <w:tcPr>
            <w:tcW w:type="dxa" w:w="3312"/>
          </w:tcPr>
          <w:p>
            <w:r>
              <w:t>Uso semanal recurrente</w:t>
            </w:r>
          </w:p>
        </w:tc>
        <w:tc>
          <w:tcPr>
            <w:tcW w:type="dxa" w:w="3312"/>
          </w:tcPr>
          <w:p>
            <w:r>
              <w:t>39 de 60 (65 %)</w:t>
            </w:r>
          </w:p>
        </w:tc>
        <w:tc>
          <w:tcPr>
            <w:tcW w:type="dxa" w:w="3312"/>
          </w:tcPr>
          <w:p>
            <w:r>
              <w:t>45 de 60 (75 %)</w:t>
            </w:r>
          </w:p>
        </w:tc>
      </w:tr>
      <w:tr>
        <w:tc>
          <w:tcPr>
            <w:tcW w:type="dxa" w:w="3312"/>
          </w:tcPr>
          <w:p>
            <w:r>
              <w:t>Casos de uso documentados</w:t>
            </w:r>
          </w:p>
        </w:tc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12</w:t>
            </w:r>
          </w:p>
        </w:tc>
      </w:tr>
      <w:tr>
        <w:tc>
          <w:tcPr>
            <w:tcW w:type="dxa" w:w="3312"/>
          </w:tcPr>
          <w:p>
            <w:r>
              <w:t>Satisfacción de la formación</w:t>
            </w:r>
          </w:p>
        </w:tc>
        <w:tc>
          <w:tcPr>
            <w:tcW w:type="dxa" w:w="3312"/>
          </w:tcPr>
          <w:p>
            <w:r>
              <w:t>4,2 sobre 5</w:t>
            </w:r>
          </w:p>
        </w:tc>
        <w:tc>
          <w:tcPr>
            <w:tcW w:type="dxa" w:w="3312"/>
          </w:tcPr>
          <w:p>
            <w:r>
              <w:t>4 sobre 5</w:t>
            </w:r>
          </w:p>
        </w:tc>
      </w:tr>
    </w:tbl>
    <w:p>
      <w:pPr>
        <w:pStyle w:val="Caption"/>
      </w:pPr>
      <w:r>
        <w:t>Criterios del ejemplo: uso recurrente = actividad en al menos tres de las cuatro semanas observadas. Satisfacción = media de 30 respuestas voluntarias. Todos los valores son simulados.</w:t>
      </w:r>
    </w:p>
    <w:p>
      <w:pPr>
        <w:pStyle w:val="Heading1"/>
      </w:pPr>
      <w:r>
        <w:t>3. Avances y aprendizajes</w:t>
      </w:r>
    </w:p>
    <w:p>
      <w:pPr>
        <w:pStyle w:val="ListBullet"/>
      </w:pPr>
      <w:r>
        <w:t>Preparación: completadas las altas de participantes y la comunicación de inicio del piloto.</w:t>
      </w:r>
    </w:p>
    <w:p>
      <w:pPr>
        <w:pStyle w:val="ListBullet"/>
      </w:pPr>
      <w:r>
        <w:t>Capacitación: realizadas tres sesiones prácticas y dos espacios de resolución de dudas.</w:t>
      </w:r>
    </w:p>
    <w:p>
      <w:pPr>
        <w:pStyle w:val="ListBullet"/>
      </w:pPr>
      <w:r>
        <w:t>Casos de uso: priorizados los borradores de propuestas, la síntesis de documentos y la preparación de reuniones.</w:t>
      </w:r>
    </w:p>
    <w:p>
      <w:pPr>
        <w:pStyle w:val="ListBullet"/>
      </w:pPr>
      <w:r>
        <w:t>Aprendizaje: los ejercicios vinculados a tareas habituales generan más participación que las demostraciones genéricas.</w:t>
      </w:r>
    </w:p>
    <w:p>
      <w:r>
        <w:br w:type="page"/>
      </w:r>
    </w:p>
    <w:p>
      <w:pPr>
        <w:pStyle w:val="Heading1"/>
      </w:pPr>
      <w:r>
        <w:t>4. Riesgos y medidas de respuesta</w:t>
      </w:r>
    </w:p>
    <w:p>
      <w:r>
        <w:rPr>
          <w:b/>
        </w:rPr>
        <w:t>Adopción desigual | Prioridad alta</w:t>
        <w:br/>
      </w:r>
      <w:r>
        <w:t>El uso se concentra en una parte del grupo. Medida: organizar sesiones por área y asignar una persona de referencia en cada equipo. Responsable: equipo de Adopción.</w:t>
      </w:r>
    </w:p>
    <w:p>
      <w:r>
        <w:rPr>
          <w:b/>
        </w:rPr>
        <w:t>Permisos documentales pendientes | Prioridad alta</w:t>
        <w:br/>
      </w:r>
      <w:r>
        <w:t>Quedan dos espacios de trabajo por revisar. Medida: completar la revisión antes de incorporar nuevos contenidos al piloto. Responsable: equipo de TI.</w:t>
      </w:r>
    </w:p>
    <w:p>
      <w:r>
        <w:rPr>
          <w:b/>
        </w:rPr>
        <w:t>Expectativas sobre los resultados | Prioridad media</w:t>
        <w:br/>
      </w:r>
      <w:r>
        <w:t>Algunos participantes esperan obtener entregables finales sin revisión. Medida: reforzar la validación humana y la comprobación de fuentes en los materiales de formación. Responsable: equipo de Formación.</w:t>
      </w:r>
    </w:p>
    <w:p>
      <w:pPr>
        <w:pStyle w:val="Heading1"/>
      </w:pPr>
      <w:r>
        <w:t>5. Próximos hitos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Fecha prevista</w:t>
            </w:r>
          </w:p>
        </w:tc>
        <w:tc>
          <w:tcPr>
            <w:tcW w:type="dxa" w:w="3312"/>
          </w:tcPr>
          <w:p>
            <w:r>
              <w:t>Entregable</w:t>
            </w:r>
          </w:p>
        </w:tc>
        <w:tc>
          <w:tcPr>
            <w:tcW w:type="dxa" w:w="3312"/>
          </w:tcPr>
          <w:p>
            <w:r>
              <w:t>Responsable</w:t>
            </w:r>
          </w:p>
        </w:tc>
      </w:tr>
      <w:tr>
        <w:tc>
          <w:tcPr>
            <w:tcW w:type="dxa" w:w="3312"/>
          </w:tcPr>
          <w:p>
            <w:r>
              <w:t>26/10/2026</w:t>
            </w:r>
          </w:p>
        </w:tc>
        <w:tc>
          <w:tcPr>
            <w:tcW w:type="dxa" w:w="3312"/>
          </w:tcPr>
          <w:p>
            <w:r>
              <w:t>Revisión de los dos espacios pendientes</w:t>
            </w:r>
          </w:p>
        </w:tc>
        <w:tc>
          <w:tcPr>
            <w:tcW w:type="dxa" w:w="3312"/>
          </w:tcPr>
          <w:p>
            <w:r>
              <w:t>TI</w:t>
            </w:r>
          </w:p>
        </w:tc>
      </w:tr>
      <w:tr>
        <w:tc>
          <w:tcPr>
            <w:tcW w:type="dxa" w:w="3312"/>
          </w:tcPr>
          <w:p>
            <w:r>
              <w:t>28/10/2026</w:t>
            </w:r>
          </w:p>
        </w:tc>
        <w:tc>
          <w:tcPr>
            <w:tcW w:type="dxa" w:w="3312"/>
          </w:tcPr>
          <w:p>
            <w:r>
              <w:t>Dos talleres por casos de uso</w:t>
            </w:r>
          </w:p>
        </w:tc>
        <w:tc>
          <w:tcPr>
            <w:tcW w:type="dxa" w:w="3312"/>
          </w:tcPr>
          <w:p>
            <w:r>
              <w:t>Formación</w:t>
            </w:r>
          </w:p>
        </w:tc>
      </w:tr>
      <w:tr>
        <w:tc>
          <w:tcPr>
            <w:tcW w:type="dxa" w:w="3312"/>
          </w:tcPr>
          <w:p>
            <w:r>
              <w:t>30/10/2026</w:t>
            </w:r>
          </w:p>
        </w:tc>
        <w:tc>
          <w:tcPr>
            <w:tcW w:type="dxa" w:w="3312"/>
          </w:tcPr>
          <w:p>
            <w:r>
              <w:t>Catálogo con 12 casos documentados</w:t>
            </w:r>
          </w:p>
        </w:tc>
        <w:tc>
          <w:tcPr>
            <w:tcW w:type="dxa" w:w="3312"/>
          </w:tcPr>
          <w:p>
            <w:r>
              <w:t>Adopción</w:t>
            </w:r>
          </w:p>
        </w:tc>
      </w:tr>
      <w:tr>
        <w:tc>
          <w:tcPr>
            <w:tcW w:type="dxa" w:w="3312"/>
          </w:tcPr>
          <w:p>
            <w:r>
              <w:t>04/11/2026</w:t>
            </w:r>
          </w:p>
        </w:tc>
        <w:tc>
          <w:tcPr>
            <w:tcW w:type="dxa" w:w="3312"/>
          </w:tcPr>
          <w:p>
            <w:r>
              <w:t>Informe de cierre y propuesta de continuidad</w:t>
            </w:r>
          </w:p>
        </w:tc>
        <w:tc>
          <w:tcPr>
            <w:tcW w:type="dxa" w:w="3312"/>
          </w:tcPr>
          <w:p>
            <w:r>
              <w:t>Dirección del proyecto</w:t>
            </w:r>
          </w:p>
        </w:tc>
      </w:tr>
    </w:tbl>
    <w:p>
      <w:pPr>
        <w:pStyle w:val="Heading1"/>
      </w:pPr>
      <w:r>
        <w:t>6. Decisiones solicitadas</w:t>
      </w:r>
    </w:p>
    <w:p>
      <w:pPr>
        <w:pStyle w:val="ListNumber"/>
      </w:pPr>
      <w:r>
        <w:t>Validar la dedicación de dos horas semanales de las personas de referencia durante la siguiente fase.</w:t>
      </w:r>
    </w:p>
    <w:p>
      <w:pPr>
        <w:pStyle w:val="ListNumber"/>
      </w:pPr>
      <w:r>
        <w:t>Mantener el alcance en 60 participantes hasta cerrar la revisión de permisos y evaluar los indicadores.</w:t>
      </w:r>
    </w:p>
    <w:p>
      <w:pPr>
        <w:pStyle w:val="ListNumber"/>
      </w:pPr>
      <w:r>
        <w:t>Confirmar los criterios de continuidad: formación completada por al menos el 90 % del grupo, uso recurrente del 75 % y revisión documental finalizada.</w:t>
      </w:r>
    </w:p>
    <w:p>
      <w:pPr>
        <w:pStyle w:val="Heading1"/>
      </w:pPr>
      <w:r>
        <w:t>7. Recomendación de cierre</w:t>
      </w:r>
    </w:p>
    <w:p>
      <w:r>
        <w:t>Continuar el piloto sin ampliar todavía su alcance. La decisión de escalado se propone para el 4 de noviembre, condicionada al cumplimiento de los criterios acordados. Si no se alcanzan, se plantea un refuerzo de acompañamiento de dos semanas antes de una nueva evaluación.</w:t>
      </w:r>
    </w:p>
    <w:p>
      <w:pPr>
        <w:pStyle w:val="Caption"/>
      </w:pPr>
      <w:r>
        <w:t>Nota de uso: documento de muestra para practicar resúmenes, extracción de tareas, revisión de redacción o preparación de presentaciones. No acredita resultados reales de adopción ni capacidades específicas del producto.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DOCUMENTO FICTICIO PARA DEMOSTRACIONES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NEXORA | TRANSFORMACION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B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Estado del proyecto de adopción de Copilot | Ejemplo ficticio</dc:title>
  <dc:subject/>
  <dc:creator>Adrián Espés</dc:creator>
  <keywords/>
  <dc:description>generated by python-docx</dc:description>
  <lastModifiedBy>Adrián Espés</lastModifiedBy>
  <revision>1</revision>
  <dcterms:created xsi:type="dcterms:W3CDTF">2026-10-21T06:40:39.5693338Z</dcterms:created>
  <dcterms:modified xsi:type="dcterms:W3CDTF">2026-10-21T06:40:39.5693338Z</dcterms:modified>
  <category/>
</coreProperties>
</file>