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61D9" w14:textId="77777777" w:rsidR="00363CD4" w:rsidRDefault="00000000">
      <w:pPr>
        <w:pStyle w:val="Title"/>
      </w:pPr>
      <w:r>
        <w:t>Surveillance Handout Workshop</w:t>
      </w:r>
    </w:p>
    <w:p w14:paraId="5FC861DA" w14:textId="77777777" w:rsidR="00363CD4" w:rsidRDefault="00000000">
      <w:pPr>
        <w:pStyle w:val="Date"/>
      </w:pPr>
      <w:r>
        <w:t>2024-1-24</w:t>
      </w:r>
    </w:p>
    <w:p w14:paraId="5FC861DB" w14:textId="77777777" w:rsidR="00363CD4" w:rsidRDefault="00000000">
      <w:pPr>
        <w:pStyle w:val="Heading3"/>
      </w:pPr>
      <w:bookmarkStart w:id="0" w:name="X00b03ab096e82fbc76cfdf8784655260c342c2c"/>
      <w:r>
        <w:t>The relationship between prevalence, confidence, and number of samples</w:t>
      </w:r>
    </w:p>
    <w:p w14:paraId="5FC861DC" w14:textId="77777777" w:rsidR="00363CD4" w:rsidRDefault="00000000">
      <w:pPr>
        <w:pStyle w:val="FirstParagraph"/>
      </w:pPr>
      <w:r>
        <w:t xml:space="preserve">The graph below shows the number of samples required to have a 90%, 95%, or 99% confidence (see colored lines) in detecting </w:t>
      </w:r>
      <w:r>
        <w:rPr>
          <w:i/>
          <w:iCs/>
        </w:rPr>
        <w:t>at least one</w:t>
      </w:r>
      <w:r>
        <w:t xml:space="preserve"> case of chronic wasting disease, under various assumed prevalences (x-axis) </w:t>
      </w:r>
      <w:r>
        <w:rPr>
          <w:b/>
          <w:bCs/>
        </w:rPr>
        <w:t>for ANY spatial unit of interest</w:t>
      </w:r>
      <w:r>
        <w:t>. Prevalence refers to the proportion of the population that is diseased. Under a simplified random sample (SRS), the confidence level heavily influences the number of samples needed (and associated costs).</w:t>
      </w:r>
    </w:p>
    <w:p w14:paraId="5FC861DD" w14:textId="77777777" w:rsidR="00363CD4" w:rsidRDefault="00363CD4">
      <w:pPr>
        <w:pStyle w:val="BodyText"/>
      </w:pPr>
    </w:p>
    <w:p w14:paraId="5FC861DE" w14:textId="77777777" w:rsidR="00363CD4" w:rsidRDefault="00000000">
      <w:pPr>
        <w:pStyle w:val="CaptionedFigure"/>
      </w:pPr>
      <w:r>
        <w:rPr>
          <w:noProof/>
        </w:rPr>
        <w:drawing>
          <wp:inline distT="0" distB="0" distL="0" distR="0" wp14:anchorId="5FC8620A" wp14:editId="5FC8620B">
            <wp:extent cx="5334000" cy="3733800"/>
            <wp:effectExtent l="0" t="0" r="0" b="0"/>
            <wp:docPr id="21" name="Picture" descr="Figure 1. Number of samples needed under different surveillance designs. The color of each line corresponds to the confidnece level."/>
            <wp:cNvGraphicFramePr/>
            <a:graphic xmlns:a="http://schemas.openxmlformats.org/drawingml/2006/main">
              <a:graphicData uri="http://schemas.openxmlformats.org/drawingml/2006/picture">
                <pic:pic xmlns:pic="http://schemas.openxmlformats.org/drawingml/2006/picture">
                  <pic:nvPicPr>
                    <pic:cNvPr id="22" name="Picture" descr="SurveillanceWorkshopHandout_1_24_24_files/figure-docx/unnamed-chunk-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5FC861DF" w14:textId="77777777" w:rsidR="00363CD4" w:rsidRDefault="00000000">
      <w:pPr>
        <w:pStyle w:val="ImageCaption"/>
      </w:pPr>
      <w:r>
        <w:t>Figure 1. Number of samples needed under different surveillance designs. The color of each line corresponds to the confidnece level.</w:t>
      </w:r>
    </w:p>
    <w:p w14:paraId="5FC861E0" w14:textId="77777777" w:rsidR="00363CD4" w:rsidRDefault="00000000">
      <w:pPr>
        <w:pStyle w:val="BodyText"/>
      </w:pPr>
      <w:r>
        <w:t xml:space="preserve"> </w:t>
      </w:r>
    </w:p>
    <w:p w14:paraId="5FC861E1" w14:textId="77777777" w:rsidR="00363CD4" w:rsidRDefault="00000000">
      <w:pPr>
        <w:pStyle w:val="Heading3"/>
      </w:pPr>
      <w:bookmarkStart w:id="1" w:name="X1fd3416bf0aa13a90a94dea5bf6198e7c8d3860"/>
      <w:bookmarkEnd w:id="0"/>
      <w:r>
        <w:t>Estimating our power to detect CWD across counties using all available samples</w:t>
      </w:r>
    </w:p>
    <w:p w14:paraId="5FC861E2" w14:textId="77777777" w:rsidR="00363CD4" w:rsidRDefault="00000000">
      <w:pPr>
        <w:pStyle w:val="FirstParagraph"/>
      </w:pPr>
      <w:r>
        <w:t xml:space="preserve">We use values from the Vermont 2022 Deer Harvest report to estimate counts of individuals in strata (adult male, adult female, yearling male, and yearling female), </w:t>
      </w:r>
      <w:r>
        <w:lastRenderedPageBreak/>
        <w:t xml:space="preserve">harvested in Vermont’s 14 counties, across harvest seasons (archery, youth, novice, October muzzle, regular, and December muzzle). We use an multinomial with probability informed by percentage breakdowns in the deer harvest report to estimate the count of each strata in a county by season. Vermont only collects samples from check stations from the first weekend of the regular season and from the youth hunt. We estimate that checked individuals from the regular season were only 10% of the total harvest. Our dataset only includes individuals harvested in the youth hunt and 10% of individuals harvested in the regular season. </w:t>
      </w:r>
    </w:p>
    <w:p w14:paraId="5FC861E3" w14:textId="77777777" w:rsidR="00363CD4" w:rsidRDefault="00000000">
      <w:pPr>
        <w:pStyle w:val="BodyText"/>
      </w:pPr>
      <w:r>
        <w:t>With these data, we calculate the number of samples needed to detect CWD at a given prevalence and statistical assurance (confidence level). The confidence level represents the certainty we have that population-level CWD prevalence is at or below the threshold level.</w:t>
      </w:r>
    </w:p>
    <w:p w14:paraId="5FC861E4" w14:textId="77777777" w:rsidR="00363CD4" w:rsidRDefault="00000000">
      <w:pPr>
        <w:pStyle w:val="BodyText"/>
      </w:pPr>
      <w:r>
        <w:t>For each county, we can take the prevalence where we would have the power to detect CWD at least once for a given confidence.</w:t>
      </w:r>
    </w:p>
    <w:p w14:paraId="5FC861E5" w14:textId="77777777" w:rsidR="00363CD4" w:rsidRDefault="00000000">
      <w:pPr>
        <w:pStyle w:val="CaptionedFigure"/>
      </w:pPr>
      <w:r>
        <w:rPr>
          <w:noProof/>
        </w:rPr>
        <w:drawing>
          <wp:inline distT="0" distB="0" distL="0" distR="0" wp14:anchorId="5FC8620C" wp14:editId="5FC8620D">
            <wp:extent cx="4620126" cy="3696101"/>
            <wp:effectExtent l="0" t="0" r="0" b="0"/>
            <wp:docPr id="25" name="Picture" descr="Figure 2. Resulting prevalence level from available samples per county. Each color corresponds to a different confidence level"/>
            <wp:cNvGraphicFramePr/>
            <a:graphic xmlns:a="http://schemas.openxmlformats.org/drawingml/2006/main">
              <a:graphicData uri="http://schemas.openxmlformats.org/drawingml/2006/picture">
                <pic:pic xmlns:pic="http://schemas.openxmlformats.org/drawingml/2006/picture">
                  <pic:nvPicPr>
                    <pic:cNvPr id="26" name="Picture" descr="SurveillanceWorkshopHandout_1_24_24_files/figure-docx/County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C861E6" w14:textId="77777777" w:rsidR="00363CD4" w:rsidRDefault="00000000">
      <w:pPr>
        <w:pStyle w:val="ImageCaption"/>
      </w:pPr>
      <w:r>
        <w:t>Figure 2. Resulting prevalence level from available samples per county. Each color corresponds to a different confidence level</w:t>
      </w:r>
    </w:p>
    <w:p w14:paraId="5FC861E7" w14:textId="77777777" w:rsidR="00363CD4" w:rsidRDefault="00363CD4">
      <w:pPr>
        <w:pStyle w:val="BodyText"/>
      </w:pPr>
    </w:p>
    <w:p w14:paraId="5FC861E8" w14:textId="77777777" w:rsidR="00363CD4" w:rsidRDefault="00000000">
      <w:pPr>
        <w:pStyle w:val="Heading3"/>
      </w:pPr>
      <w:bookmarkStart w:id="2" w:name="costs"/>
      <w:bookmarkEnd w:id="1"/>
      <w:r>
        <w:t>Costs</w:t>
      </w:r>
    </w:p>
    <w:p w14:paraId="5FC861E9" w14:textId="77777777" w:rsidR="00363CD4" w:rsidRDefault="00000000">
      <w:pPr>
        <w:pStyle w:val="FirstParagraph"/>
      </w:pPr>
      <w:r>
        <w:t xml:space="preserve">Costs of surveillance vary with the scale of the surveillance program, whether hunters or others (e.g., VFWD staff, processors) are collecting the samples, and where the laboratory analyses are completed. Estimates of cost per sample range from $10/sample (current </w:t>
      </w:r>
      <w:r>
        <w:lastRenderedPageBreak/>
        <w:t>Vermont costs for low sample sizes) to $188/sample (estimate from Michigan which has a large, staff-based surveillance program).</w:t>
      </w:r>
    </w:p>
    <w:p w14:paraId="5FC861EA" w14:textId="77777777" w:rsidR="00363CD4" w:rsidRDefault="00000000">
      <w:pPr>
        <w:pStyle w:val="Heading3"/>
      </w:pPr>
      <w:bookmarkStart w:id="3" w:name="prevalence-at-the-state-level"/>
      <w:bookmarkEnd w:id="2"/>
      <w:r>
        <w:t>Prevalence at the state level</w:t>
      </w:r>
    </w:p>
    <w:p w14:paraId="5FC861EB" w14:textId="77777777" w:rsidR="00363CD4" w:rsidRDefault="00000000">
      <w:pPr>
        <w:pStyle w:val="CaptionedFigure"/>
      </w:pPr>
      <w:r>
        <w:rPr>
          <w:noProof/>
        </w:rPr>
        <w:drawing>
          <wp:inline distT="0" distB="0" distL="0" distR="0" wp14:anchorId="5FC8620E" wp14:editId="5FC8620F">
            <wp:extent cx="5334000" cy="3733800"/>
            <wp:effectExtent l="0" t="0" r="0" b="0"/>
            <wp:docPr id="30" name="Picture" descr="Figure 3. Number of samples needed under different surveillance designs. The color of each line corresponds to the confidnece level. Adult Buck Count totals 2688 and is not included on the graph."/>
            <wp:cNvGraphicFramePr/>
            <a:graphic xmlns:a="http://schemas.openxmlformats.org/drawingml/2006/main">
              <a:graphicData uri="http://schemas.openxmlformats.org/drawingml/2006/picture">
                <pic:pic xmlns:pic="http://schemas.openxmlformats.org/drawingml/2006/picture">
                  <pic:nvPicPr>
                    <pic:cNvPr id="31" name="Picture" descr="SurveillanceWorkshopHandout_1_24_24_files/figure-docx/unnamed-chunk-2-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5FC861EC" w14:textId="77777777" w:rsidR="00363CD4" w:rsidRDefault="00000000">
      <w:pPr>
        <w:pStyle w:val="ImageCaption"/>
      </w:pPr>
      <w:r>
        <w:t>Figure 3. Number of samples needed under different surveillance designs. The color of each line corresponds to the confidnece level. Adult Buck Count totals 2688 and is not included on the graph.</w:t>
      </w:r>
    </w:p>
    <w:p w14:paraId="5FC861ED" w14:textId="77777777" w:rsidR="00363CD4" w:rsidRDefault="00363CD4">
      <w:pPr>
        <w:pStyle w:val="BodyText"/>
      </w:pPr>
    </w:p>
    <w:p w14:paraId="5FC861EE" w14:textId="77777777" w:rsidR="00363CD4" w:rsidRDefault="00000000">
      <w:pPr>
        <w:pStyle w:val="BodyText"/>
      </w:pPr>
      <w:r>
        <w:t>A breakdown of the harvest based on the total harvest state-wide as well as the estimated check station harvest can be broken down by strata</w:t>
      </w:r>
    </w:p>
    <w:tbl>
      <w:tblPr>
        <w:tblStyle w:val="Table"/>
        <w:tblW w:w="0" w:type="auto"/>
        <w:jc w:val="center"/>
        <w:tblCellMar>
          <w:left w:w="60" w:type="dxa"/>
          <w:right w:w="60" w:type="dxa"/>
        </w:tblCellMar>
        <w:tblLook w:val="0000" w:firstRow="0" w:lastRow="0" w:firstColumn="0" w:lastColumn="0" w:noHBand="0" w:noVBand="0"/>
      </w:tblPr>
      <w:tblGrid>
        <w:gridCol w:w="1295"/>
        <w:gridCol w:w="1528"/>
        <w:gridCol w:w="1467"/>
        <w:gridCol w:w="1548"/>
        <w:gridCol w:w="1728"/>
        <w:gridCol w:w="627"/>
      </w:tblGrid>
      <w:tr w:rsidR="00363CD4" w14:paraId="5FC861F5" w14:textId="77777777" w:rsidTr="00363CD4">
        <w:trPr>
          <w:cantSplit/>
          <w:tblHeader/>
          <w:jc w:val="center"/>
        </w:trPr>
        <w:tc>
          <w:tcPr>
            <w:tcW w:w="0" w:type="auto"/>
            <w:tcBorders>
              <w:top w:val="single" w:sz="16" w:space="0" w:color="D3D3D3"/>
              <w:left w:val="single" w:sz="0" w:space="0" w:color="D3D3D3"/>
              <w:bottom w:val="single" w:sz="16" w:space="0" w:color="D3D3D3"/>
            </w:tcBorders>
          </w:tcPr>
          <w:p w14:paraId="5FC861EF" w14:textId="77777777" w:rsidR="00363CD4" w:rsidRDefault="00000000">
            <w:pPr>
              <w:keepNext/>
              <w:spacing w:after="60"/>
            </w:pPr>
            <w:r>
              <w:rPr>
                <w:rFonts w:ascii="Calibri" w:hAnsi="Calibri"/>
                <w:sz w:val="20"/>
              </w:rPr>
              <w:t>Data Source</w:t>
            </w:r>
          </w:p>
        </w:tc>
        <w:tc>
          <w:tcPr>
            <w:tcW w:w="0" w:type="auto"/>
            <w:tcBorders>
              <w:top w:val="single" w:sz="16" w:space="0" w:color="D3D3D3"/>
              <w:bottom w:val="single" w:sz="16" w:space="0" w:color="D3D3D3"/>
            </w:tcBorders>
          </w:tcPr>
          <w:p w14:paraId="5FC861F0" w14:textId="77777777" w:rsidR="00363CD4" w:rsidRDefault="00000000">
            <w:pPr>
              <w:keepNext/>
              <w:spacing w:after="60"/>
              <w:jc w:val="right"/>
            </w:pPr>
            <w:r>
              <w:rPr>
                <w:rFonts w:ascii="Calibri" w:hAnsi="Calibri"/>
                <w:sz w:val="20"/>
              </w:rPr>
              <w:t>Adult Buck Count</w:t>
            </w:r>
          </w:p>
        </w:tc>
        <w:tc>
          <w:tcPr>
            <w:tcW w:w="0" w:type="auto"/>
            <w:tcBorders>
              <w:top w:val="single" w:sz="16" w:space="0" w:color="D3D3D3"/>
              <w:bottom w:val="single" w:sz="16" w:space="0" w:color="D3D3D3"/>
            </w:tcBorders>
          </w:tcPr>
          <w:p w14:paraId="5FC861F1" w14:textId="77777777" w:rsidR="00363CD4" w:rsidRDefault="00000000">
            <w:pPr>
              <w:keepNext/>
              <w:spacing w:after="60"/>
              <w:jc w:val="right"/>
            </w:pPr>
            <w:r>
              <w:rPr>
                <w:rFonts w:ascii="Calibri" w:hAnsi="Calibri"/>
                <w:sz w:val="20"/>
              </w:rPr>
              <w:t>Adult Doe Count</w:t>
            </w:r>
          </w:p>
        </w:tc>
        <w:tc>
          <w:tcPr>
            <w:tcW w:w="0" w:type="auto"/>
            <w:tcBorders>
              <w:top w:val="single" w:sz="16" w:space="0" w:color="D3D3D3"/>
              <w:bottom w:val="single" w:sz="16" w:space="0" w:color="D3D3D3"/>
            </w:tcBorders>
          </w:tcPr>
          <w:p w14:paraId="5FC861F2" w14:textId="77777777" w:rsidR="00363CD4" w:rsidRDefault="00000000">
            <w:pPr>
              <w:keepNext/>
              <w:spacing w:after="60"/>
              <w:jc w:val="right"/>
            </w:pPr>
            <w:r>
              <w:rPr>
                <w:rFonts w:ascii="Calibri" w:hAnsi="Calibri"/>
                <w:sz w:val="20"/>
              </w:rPr>
              <w:t>Male Fawn Count</w:t>
            </w:r>
          </w:p>
        </w:tc>
        <w:tc>
          <w:tcPr>
            <w:tcW w:w="0" w:type="auto"/>
            <w:tcBorders>
              <w:top w:val="single" w:sz="16" w:space="0" w:color="D3D3D3"/>
              <w:bottom w:val="single" w:sz="16" w:space="0" w:color="D3D3D3"/>
            </w:tcBorders>
          </w:tcPr>
          <w:p w14:paraId="5FC861F3" w14:textId="77777777" w:rsidR="00363CD4" w:rsidRDefault="00000000">
            <w:pPr>
              <w:keepNext/>
              <w:spacing w:after="60"/>
              <w:jc w:val="right"/>
            </w:pPr>
            <w:r>
              <w:rPr>
                <w:rFonts w:ascii="Calibri" w:hAnsi="Calibri"/>
                <w:sz w:val="20"/>
              </w:rPr>
              <w:t>Female Fawn Count</w:t>
            </w:r>
          </w:p>
        </w:tc>
        <w:tc>
          <w:tcPr>
            <w:tcW w:w="0" w:type="auto"/>
            <w:tcBorders>
              <w:top w:val="single" w:sz="16" w:space="0" w:color="D3D3D3"/>
              <w:bottom w:val="single" w:sz="16" w:space="0" w:color="D3D3D3"/>
              <w:right w:val="single" w:sz="0" w:space="0" w:color="D3D3D3"/>
            </w:tcBorders>
          </w:tcPr>
          <w:p w14:paraId="5FC861F4" w14:textId="77777777" w:rsidR="00363CD4" w:rsidRDefault="00000000">
            <w:pPr>
              <w:keepNext/>
              <w:spacing w:after="60"/>
              <w:jc w:val="right"/>
            </w:pPr>
            <w:r>
              <w:rPr>
                <w:rFonts w:ascii="Calibri" w:hAnsi="Calibri"/>
                <w:sz w:val="20"/>
              </w:rPr>
              <w:t>Total</w:t>
            </w:r>
          </w:p>
        </w:tc>
      </w:tr>
      <w:tr w:rsidR="00363CD4" w14:paraId="5FC861FC" w14:textId="77777777" w:rsidTr="00363CD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C861F6" w14:textId="77777777" w:rsidR="00363CD4" w:rsidRDefault="00000000">
            <w:pPr>
              <w:keepNext/>
              <w:spacing w:after="60"/>
            </w:pPr>
            <w:r>
              <w:rPr>
                <w:rFonts w:ascii="Calibri" w:hAnsi="Calibri"/>
                <w:sz w:val="20"/>
              </w:rPr>
              <w:t>All Harvest</w:t>
            </w:r>
          </w:p>
        </w:tc>
        <w:tc>
          <w:tcPr>
            <w:tcW w:w="0" w:type="auto"/>
            <w:tcBorders>
              <w:top w:val="single" w:sz="0" w:space="0" w:color="D3D3D3"/>
              <w:left w:val="single" w:sz="0" w:space="0" w:color="D3D3D3"/>
              <w:bottom w:val="single" w:sz="0" w:space="0" w:color="D3D3D3"/>
              <w:right w:val="single" w:sz="0" w:space="0" w:color="D3D3D3"/>
            </w:tcBorders>
          </w:tcPr>
          <w:p w14:paraId="5FC861F7" w14:textId="77777777" w:rsidR="00363CD4" w:rsidRDefault="00000000">
            <w:pPr>
              <w:keepNext/>
              <w:spacing w:after="60"/>
              <w:jc w:val="right"/>
            </w:pPr>
            <w:r>
              <w:rPr>
                <w:rFonts w:ascii="Calibri" w:hAnsi="Calibri"/>
                <w:sz w:val="20"/>
              </w:rPr>
              <w:t>9626</w:t>
            </w:r>
          </w:p>
        </w:tc>
        <w:tc>
          <w:tcPr>
            <w:tcW w:w="0" w:type="auto"/>
            <w:tcBorders>
              <w:top w:val="single" w:sz="0" w:space="0" w:color="D3D3D3"/>
              <w:left w:val="single" w:sz="0" w:space="0" w:color="D3D3D3"/>
              <w:bottom w:val="single" w:sz="0" w:space="0" w:color="D3D3D3"/>
              <w:right w:val="single" w:sz="0" w:space="0" w:color="D3D3D3"/>
            </w:tcBorders>
          </w:tcPr>
          <w:p w14:paraId="5FC861F8" w14:textId="77777777" w:rsidR="00363CD4" w:rsidRDefault="00000000">
            <w:pPr>
              <w:keepNext/>
              <w:spacing w:after="60"/>
              <w:jc w:val="right"/>
            </w:pPr>
            <w:r>
              <w:rPr>
                <w:rFonts w:ascii="Calibri" w:hAnsi="Calibri"/>
                <w:sz w:val="20"/>
              </w:rPr>
              <w:t>6533</w:t>
            </w:r>
          </w:p>
        </w:tc>
        <w:tc>
          <w:tcPr>
            <w:tcW w:w="0" w:type="auto"/>
            <w:tcBorders>
              <w:top w:val="single" w:sz="0" w:space="0" w:color="D3D3D3"/>
              <w:left w:val="single" w:sz="0" w:space="0" w:color="D3D3D3"/>
              <w:bottom w:val="single" w:sz="0" w:space="0" w:color="D3D3D3"/>
              <w:right w:val="single" w:sz="0" w:space="0" w:color="D3D3D3"/>
            </w:tcBorders>
          </w:tcPr>
          <w:p w14:paraId="5FC861F9" w14:textId="77777777" w:rsidR="00363CD4" w:rsidRDefault="00000000">
            <w:pPr>
              <w:keepNext/>
              <w:spacing w:after="60"/>
              <w:jc w:val="right"/>
            </w:pPr>
            <w:r>
              <w:rPr>
                <w:rFonts w:ascii="Calibri" w:hAnsi="Calibri"/>
                <w:sz w:val="20"/>
              </w:rPr>
              <w:t>629</w:t>
            </w:r>
          </w:p>
        </w:tc>
        <w:tc>
          <w:tcPr>
            <w:tcW w:w="0" w:type="auto"/>
            <w:tcBorders>
              <w:top w:val="single" w:sz="0" w:space="0" w:color="D3D3D3"/>
              <w:left w:val="single" w:sz="0" w:space="0" w:color="D3D3D3"/>
              <w:bottom w:val="single" w:sz="0" w:space="0" w:color="D3D3D3"/>
              <w:right w:val="single" w:sz="0" w:space="0" w:color="D3D3D3"/>
            </w:tcBorders>
          </w:tcPr>
          <w:p w14:paraId="5FC861FA" w14:textId="77777777" w:rsidR="00363CD4" w:rsidRDefault="00000000">
            <w:pPr>
              <w:keepNext/>
              <w:spacing w:after="60"/>
              <w:jc w:val="right"/>
            </w:pPr>
            <w:r>
              <w:rPr>
                <w:rFonts w:ascii="Calibri" w:hAnsi="Calibri"/>
                <w:sz w:val="20"/>
              </w:rPr>
              <w:t>673</w:t>
            </w:r>
          </w:p>
        </w:tc>
        <w:tc>
          <w:tcPr>
            <w:tcW w:w="0" w:type="auto"/>
            <w:tcBorders>
              <w:top w:val="single" w:sz="0" w:space="0" w:color="D3D3D3"/>
              <w:left w:val="single" w:sz="0" w:space="0" w:color="D3D3D3"/>
              <w:bottom w:val="single" w:sz="0" w:space="0" w:color="D3D3D3"/>
              <w:right w:val="single" w:sz="0" w:space="0" w:color="D3D3D3"/>
            </w:tcBorders>
          </w:tcPr>
          <w:p w14:paraId="5FC861FB" w14:textId="77777777" w:rsidR="00363CD4" w:rsidRDefault="00000000">
            <w:pPr>
              <w:keepNext/>
              <w:spacing w:after="60"/>
              <w:jc w:val="right"/>
            </w:pPr>
            <w:r>
              <w:rPr>
                <w:rFonts w:ascii="Calibri" w:hAnsi="Calibri"/>
                <w:sz w:val="20"/>
              </w:rPr>
              <w:t>17461</w:t>
            </w:r>
          </w:p>
        </w:tc>
      </w:tr>
      <w:tr w:rsidR="00363CD4" w14:paraId="5FC86203" w14:textId="77777777" w:rsidTr="00363CD4">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C861FD" w14:textId="77777777" w:rsidR="00363CD4" w:rsidRDefault="00000000">
            <w:pPr>
              <w:keepNext/>
              <w:spacing w:after="60"/>
            </w:pPr>
            <w:r>
              <w:rPr>
                <w:rFonts w:ascii="Calibri" w:hAnsi="Calibri"/>
                <w:sz w:val="20"/>
              </w:rPr>
              <w:t>Check stations</w:t>
            </w:r>
          </w:p>
        </w:tc>
        <w:tc>
          <w:tcPr>
            <w:tcW w:w="0" w:type="auto"/>
            <w:tcBorders>
              <w:top w:val="single" w:sz="0" w:space="0" w:color="D3D3D3"/>
              <w:left w:val="single" w:sz="0" w:space="0" w:color="D3D3D3"/>
              <w:bottom w:val="single" w:sz="0" w:space="0" w:color="D3D3D3"/>
              <w:right w:val="single" w:sz="0" w:space="0" w:color="D3D3D3"/>
            </w:tcBorders>
          </w:tcPr>
          <w:p w14:paraId="5FC861FE" w14:textId="77777777" w:rsidR="00363CD4" w:rsidRDefault="00000000">
            <w:pPr>
              <w:keepNext/>
              <w:spacing w:after="60"/>
              <w:jc w:val="right"/>
            </w:pPr>
            <w:r>
              <w:rPr>
                <w:rFonts w:ascii="Calibri" w:hAnsi="Calibri"/>
                <w:sz w:val="20"/>
              </w:rPr>
              <w:t>965</w:t>
            </w:r>
          </w:p>
        </w:tc>
        <w:tc>
          <w:tcPr>
            <w:tcW w:w="0" w:type="auto"/>
            <w:tcBorders>
              <w:top w:val="single" w:sz="0" w:space="0" w:color="D3D3D3"/>
              <w:left w:val="single" w:sz="0" w:space="0" w:color="D3D3D3"/>
              <w:bottom w:val="single" w:sz="0" w:space="0" w:color="D3D3D3"/>
              <w:right w:val="single" w:sz="0" w:space="0" w:color="D3D3D3"/>
            </w:tcBorders>
          </w:tcPr>
          <w:p w14:paraId="5FC861FF" w14:textId="77777777" w:rsidR="00363CD4" w:rsidRDefault="00000000">
            <w:pPr>
              <w:keepNext/>
              <w:spacing w:after="60"/>
              <w:jc w:val="right"/>
            </w:pPr>
            <w:r>
              <w:rPr>
                <w:rFonts w:ascii="Calibri" w:hAnsi="Calibri"/>
                <w:sz w:val="20"/>
              </w:rPr>
              <w:t>499</w:t>
            </w:r>
          </w:p>
        </w:tc>
        <w:tc>
          <w:tcPr>
            <w:tcW w:w="0" w:type="auto"/>
            <w:tcBorders>
              <w:top w:val="single" w:sz="0" w:space="0" w:color="D3D3D3"/>
              <w:left w:val="single" w:sz="0" w:space="0" w:color="D3D3D3"/>
              <w:bottom w:val="single" w:sz="0" w:space="0" w:color="D3D3D3"/>
              <w:right w:val="single" w:sz="0" w:space="0" w:color="D3D3D3"/>
            </w:tcBorders>
          </w:tcPr>
          <w:p w14:paraId="5FC86200" w14:textId="77777777" w:rsidR="00363CD4" w:rsidRDefault="00000000">
            <w:pPr>
              <w:keepNext/>
              <w:spacing w:after="60"/>
              <w:jc w:val="right"/>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5FC86201" w14:textId="77777777" w:rsidR="00363CD4" w:rsidRDefault="00000000">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5FC86202" w14:textId="77777777" w:rsidR="00363CD4" w:rsidRDefault="00000000">
            <w:pPr>
              <w:keepNext/>
              <w:spacing w:after="60"/>
              <w:jc w:val="right"/>
            </w:pPr>
            <w:r>
              <w:rPr>
                <w:rFonts w:ascii="Calibri" w:hAnsi="Calibri"/>
                <w:sz w:val="20"/>
              </w:rPr>
              <w:t>1678</w:t>
            </w:r>
          </w:p>
        </w:tc>
      </w:tr>
    </w:tbl>
    <w:p w14:paraId="5FC86204" w14:textId="77777777" w:rsidR="00363CD4" w:rsidRDefault="00000000">
      <w:pPr>
        <w:pStyle w:val="Heading3"/>
      </w:pPr>
      <w:bookmarkStart w:id="4" w:name="X46f4477ecc67db871830c9ffcd945a0a6eb2eb9"/>
      <w:bookmarkEnd w:id="3"/>
      <w:r>
        <w:t>For a given state wide prevalence level, what is the achieved county-level prevalence given all estimated checked animals?</w:t>
      </w:r>
    </w:p>
    <w:p w14:paraId="5FC86205" w14:textId="77777777" w:rsidR="00363CD4" w:rsidRDefault="00000000">
      <w:pPr>
        <w:pStyle w:val="FirstParagraph"/>
      </w:pPr>
      <w:r>
        <w:t xml:space="preserve">Here, we divide the total number of samples needed for specific combinations of state-level confidence and prevalence proportionally by county and then identify whether the number of samples available at a county level through biological check stations is enough to meet the proportional allocation. The proportional number of samples needed per county is based on the proportion of the total harvest generated by that county. This figure, </w:t>
      </w:r>
      <w:r>
        <w:lastRenderedPageBreak/>
        <w:t>compared to Figure 2, illustrates that at the sample sizes needed to meet state-wide prevalence goals are much smaller than the total number of samples available at check stations.</w:t>
      </w:r>
    </w:p>
    <w:p w14:paraId="5FC86206" w14:textId="77777777" w:rsidR="00363CD4" w:rsidRDefault="00000000">
      <w:pPr>
        <w:pStyle w:val="CaptionedFigure"/>
      </w:pPr>
      <w:r>
        <w:rPr>
          <w:noProof/>
        </w:rPr>
        <w:drawing>
          <wp:inline distT="0" distB="0" distL="0" distR="0" wp14:anchorId="5FC86210" wp14:editId="5FC86211">
            <wp:extent cx="5334000" cy="4800600"/>
            <wp:effectExtent l="0" t="0" r="0" b="0"/>
            <wp:docPr id="34" name="Picture" descr="Figure 4. Resulting prevalence at county level for given state-wide prevalence goals. Each unique combination of color and line type corresponds to one of the 14 counties in Vermont. The proportion of the total harvest that is attributed to each county is given by the number on each line."/>
            <wp:cNvGraphicFramePr/>
            <a:graphic xmlns:a="http://schemas.openxmlformats.org/drawingml/2006/main">
              <a:graphicData uri="http://schemas.openxmlformats.org/drawingml/2006/picture">
                <pic:pic xmlns:pic="http://schemas.openxmlformats.org/drawingml/2006/picture">
                  <pic:nvPicPr>
                    <pic:cNvPr id="35" name="Picture" descr="SurveillanceWorkshopHandout_1_24_24_files/figure-docx/CountyPlot-1.png"/>
                    <pic:cNvPicPr>
                      <a:picLocks noChangeAspect="1" noChangeArrowheads="1"/>
                    </pic:cNvPicPr>
                  </pic:nvPicPr>
                  <pic:blipFill>
                    <a:blip r:embed="rId10"/>
                    <a:stretch>
                      <a:fillRect/>
                    </a:stretch>
                  </pic:blipFill>
                  <pic:spPr bwMode="auto">
                    <a:xfrm>
                      <a:off x="0" y="0"/>
                      <a:ext cx="5334000" cy="4800600"/>
                    </a:xfrm>
                    <a:prstGeom prst="rect">
                      <a:avLst/>
                    </a:prstGeom>
                    <a:noFill/>
                    <a:ln w="9525">
                      <a:noFill/>
                      <a:headEnd/>
                      <a:tailEnd/>
                    </a:ln>
                  </pic:spPr>
                </pic:pic>
              </a:graphicData>
            </a:graphic>
          </wp:inline>
        </w:drawing>
      </w:r>
    </w:p>
    <w:p w14:paraId="5FC86207" w14:textId="77777777" w:rsidR="00363CD4" w:rsidRDefault="00000000">
      <w:pPr>
        <w:pStyle w:val="ImageCaption"/>
      </w:pPr>
      <w:r>
        <w:t>Figure 4. Resulting prevalence at county level for given state-wide prevalence goals. Each unique combination of color and line type corresponds to one of the 14 counties in Vermont. The proportion of the total harvest that is attributed to each county is given by the number on each line.</w:t>
      </w:r>
    </w:p>
    <w:p w14:paraId="5FC86208" w14:textId="77777777" w:rsidR="00363CD4" w:rsidRDefault="00000000">
      <w:pPr>
        <w:pStyle w:val="BodyText"/>
      </w:pPr>
      <w:r>
        <w:t>The smaller the proportion of harvest is for a county, the less power that county has to detect CWD and higher the resulting county-level prevalence will be for a given state prevalence level.</w:t>
      </w:r>
    </w:p>
    <w:p w14:paraId="5FC86209" w14:textId="77777777" w:rsidR="00363CD4" w:rsidRDefault="00000000">
      <w:pPr>
        <w:pStyle w:val="BodyText"/>
      </w:pPr>
      <w:r>
        <w:t>Values presented in Figure 2 and Figure 4 are generated based on different assumptions. Figure 2 assumes that we are starting by identifying a prevalence level for all counties and then identifying the number of samples needed to achieve that prevalence for each county. Figure 4 starts with a state wide prevalence level and then, based on the proportional amount of harvest from each county, back calculates what prevalence can be detected from each county based on the set statewide prevalence.</w:t>
      </w:r>
      <w:bookmarkEnd w:id="4"/>
    </w:p>
    <w:sectPr w:rsidR="00363C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F50A" w14:textId="77777777" w:rsidR="00F929E2" w:rsidRDefault="00F929E2">
      <w:pPr>
        <w:spacing w:after="0"/>
      </w:pPr>
      <w:r>
        <w:separator/>
      </w:r>
    </w:p>
  </w:endnote>
  <w:endnote w:type="continuationSeparator" w:id="0">
    <w:p w14:paraId="26968CE0" w14:textId="77777777" w:rsidR="00F929E2" w:rsidRDefault="00F929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D089" w14:textId="77777777" w:rsidR="00F929E2" w:rsidRDefault="00F929E2">
      <w:r>
        <w:separator/>
      </w:r>
    </w:p>
  </w:footnote>
  <w:footnote w:type="continuationSeparator" w:id="0">
    <w:p w14:paraId="39DAB31E" w14:textId="77777777" w:rsidR="00F929E2" w:rsidRDefault="00F92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BC7A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8462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3CD4"/>
    <w:rsid w:val="00363CD4"/>
    <w:rsid w:val="00D7562F"/>
    <w:rsid w:val="00F929E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61D9"/>
  <w15:docId w15:val="{06E26F6E-B5F8-4CD8-AACC-F34545205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D7562F"/>
    <w:pPr>
      <w:tabs>
        <w:tab w:val="center" w:pos="4680"/>
        <w:tab w:val="right" w:pos="9360"/>
      </w:tabs>
      <w:spacing w:after="0"/>
    </w:pPr>
  </w:style>
  <w:style w:type="character" w:customStyle="1" w:styleId="HeaderChar">
    <w:name w:val="Header Char"/>
    <w:basedOn w:val="DefaultParagraphFont"/>
    <w:link w:val="Header"/>
    <w:rsid w:val="00D7562F"/>
  </w:style>
  <w:style w:type="paragraph" w:styleId="Footer">
    <w:name w:val="footer"/>
    <w:basedOn w:val="Normal"/>
    <w:link w:val="FooterChar"/>
    <w:rsid w:val="00D7562F"/>
    <w:pPr>
      <w:tabs>
        <w:tab w:val="center" w:pos="4680"/>
        <w:tab w:val="right" w:pos="9360"/>
      </w:tabs>
      <w:spacing w:after="0"/>
    </w:pPr>
  </w:style>
  <w:style w:type="character" w:customStyle="1" w:styleId="FooterChar">
    <w:name w:val="Footer Char"/>
    <w:basedOn w:val="DefaultParagraphFont"/>
    <w:link w:val="Footer"/>
    <w:rsid w:val="00D7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Handout Workshop</dc:title>
  <dc:creator/>
  <cp:keywords/>
  <cp:lastModifiedBy>Annabelle Stanley</cp:lastModifiedBy>
  <cp:revision>2</cp:revision>
  <cp:lastPrinted>2024-01-23T21:45:00Z</cp:lastPrinted>
  <dcterms:created xsi:type="dcterms:W3CDTF">2024-01-23T21:44:00Z</dcterms:created>
  <dcterms:modified xsi:type="dcterms:W3CDTF">2024-01-23T21:51:00Z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2024-1-24</vt:lpwstr>
  </property>
  <property fmtid="{D5CDD505-2E9C-101B-9397-08002B2CF9AE}" pid="3" name="output">
    <vt:lpwstr>word_document</vt:lpwstr>
  </property>
</Properties>
</file>