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89C4B4" w14:textId="241ECC28" w:rsidR="002639F7" w:rsidRPr="000118F9" w:rsidRDefault="00B04E25" w:rsidP="000118F9">
      <w:pPr>
        <w:pStyle w:val="FirstParagraph"/>
        <w:spacing w:line="360" w:lineRule="auto"/>
        <w:rPr>
          <w:rFonts w:cs="Calibri"/>
          <w:color w:val="000000" w:themeColor="text1"/>
        </w:rPr>
      </w:pPr>
      <w:r w:rsidRPr="000118F9">
        <w:rPr>
          <w:rFonts w:cs="Calibri"/>
          <w:b/>
          <w:color w:val="000000" w:themeColor="text1"/>
        </w:rPr>
        <w:t>Functional traits predict observed demographic responses to drought</w:t>
      </w:r>
      <w:r w:rsidR="000118F9" w:rsidRPr="000118F9">
        <w:rPr>
          <w:rFonts w:cs="Calibri"/>
          <w:b/>
          <w:color w:val="000000" w:themeColor="text1"/>
        </w:rPr>
        <w:t xml:space="preserve"> in a semiarid shortgrass steppe</w:t>
      </w:r>
    </w:p>
    <w:p w14:paraId="744C0AC0" w14:textId="77777777" w:rsidR="002639F7" w:rsidRPr="000118F9" w:rsidRDefault="00B04E25" w:rsidP="000118F9">
      <w:pPr>
        <w:pStyle w:val="BodyText"/>
        <w:spacing w:line="360" w:lineRule="auto"/>
        <w:rPr>
          <w:rFonts w:cs="Calibri"/>
          <w:color w:val="000000" w:themeColor="text1"/>
        </w:rPr>
      </w:pPr>
      <w:r w:rsidRPr="000118F9">
        <w:rPr>
          <w:rFonts w:cs="Calibri"/>
          <w:color w:val="000000" w:themeColor="text1"/>
        </w:rPr>
        <w:t>Alice E. Stears</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1*</m:t>
            </m:r>
          </m:sup>
        </m:sSup>
      </m:oMath>
      <w:r w:rsidRPr="000118F9">
        <w:rPr>
          <w:rFonts w:cs="Calibri"/>
          <w:color w:val="000000" w:themeColor="text1"/>
        </w:rPr>
        <w:t>, Peter B. Adler</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2</m:t>
            </m:r>
          </m:sup>
        </m:sSup>
      </m:oMath>
      <w:r w:rsidRPr="000118F9">
        <w:rPr>
          <w:rFonts w:cs="Calibri"/>
          <w:color w:val="000000" w:themeColor="text1"/>
        </w:rPr>
        <w:t>, Dana M. Blumenthal</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3</m:t>
            </m:r>
          </m:sup>
        </m:sSup>
      </m:oMath>
      <w:r w:rsidRPr="000118F9">
        <w:rPr>
          <w:rFonts w:cs="Calibri"/>
          <w:color w:val="000000" w:themeColor="text1"/>
        </w:rPr>
        <w:t>, Julie A. Kray</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3</m:t>
            </m:r>
          </m:sup>
        </m:sSup>
      </m:oMath>
      <w:r w:rsidRPr="000118F9">
        <w:rPr>
          <w:rFonts w:cs="Calibri"/>
          <w:color w:val="000000" w:themeColor="text1"/>
        </w:rPr>
        <w:t>, Kevin E. Mueller</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4</m:t>
            </m:r>
          </m:sup>
        </m:sSup>
      </m:oMath>
      <w:r w:rsidRPr="000118F9">
        <w:rPr>
          <w:rFonts w:cs="Calibri"/>
          <w:color w:val="000000" w:themeColor="text1"/>
        </w:rPr>
        <w:t>, Troy W. Ocheltree</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5</m:t>
            </m:r>
          </m:sup>
        </m:sSup>
      </m:oMath>
      <w:r w:rsidRPr="000118F9">
        <w:rPr>
          <w:rFonts w:cs="Calibri"/>
          <w:color w:val="000000" w:themeColor="text1"/>
        </w:rPr>
        <w:t>, Kevin R. Wilcox</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6</m:t>
            </m:r>
          </m:sup>
        </m:sSup>
      </m:oMath>
      <w:r w:rsidRPr="000118F9">
        <w:rPr>
          <w:rFonts w:cs="Calibri"/>
          <w:color w:val="000000" w:themeColor="text1"/>
        </w:rPr>
        <w:t>, Daniel C. Laughlin</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1</m:t>
            </m:r>
          </m:sup>
        </m:sSup>
      </m:oMath>
    </w:p>
    <w:p w14:paraId="24454E07" w14:textId="77777777" w:rsidR="002639F7" w:rsidRPr="000118F9" w:rsidRDefault="00B04E25" w:rsidP="000118F9">
      <w:pPr>
        <w:pStyle w:val="BodyText"/>
        <w:spacing w:line="360" w:lineRule="auto"/>
        <w:rPr>
          <w:rFonts w:cs="Calibri"/>
          <w:color w:val="000000" w:themeColor="text1"/>
        </w:rPr>
      </w:pP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1</m:t>
            </m:r>
          </m:sup>
        </m:sSup>
      </m:oMath>
      <w:r w:rsidRPr="000118F9">
        <w:rPr>
          <w:rFonts w:cs="Calibri"/>
          <w:color w:val="000000" w:themeColor="text1"/>
        </w:rPr>
        <w:t xml:space="preserve">Botany Department and Program in Ecology, University of Wyoming, Laramie, WY; </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2</m:t>
            </m:r>
          </m:sup>
        </m:sSup>
      </m:oMath>
      <w:r w:rsidRPr="000118F9">
        <w:rPr>
          <w:rFonts w:cs="Calibri"/>
          <w:color w:val="000000" w:themeColor="text1"/>
        </w:rPr>
        <w:t xml:space="preserve">Department of Wildland Resources and the Ecology Center, Utah State University, Logan, UT; </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3</m:t>
            </m:r>
          </m:sup>
        </m:sSup>
      </m:oMath>
      <w:r w:rsidRPr="000118F9">
        <w:rPr>
          <w:rFonts w:cs="Calibri"/>
          <w:color w:val="000000" w:themeColor="text1"/>
        </w:rPr>
        <w:t xml:space="preserve">USDA-ARS Rangeland Resources Research Unit, Fort Collins, CO; </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4</m:t>
            </m:r>
          </m:sup>
        </m:sSup>
      </m:oMath>
      <w:r w:rsidRPr="000118F9">
        <w:rPr>
          <w:rFonts w:cs="Calibri"/>
          <w:color w:val="000000" w:themeColor="text1"/>
        </w:rPr>
        <w:t xml:space="preserve">Department of Biological, Geological and Environmental Sciences, Cleveland State University, Cleveland, OH; </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5</m:t>
            </m:r>
          </m:sup>
        </m:sSup>
      </m:oMath>
      <w:r w:rsidRPr="000118F9">
        <w:rPr>
          <w:rFonts w:cs="Calibri"/>
          <w:color w:val="000000" w:themeColor="text1"/>
        </w:rPr>
        <w:t xml:space="preserve">Warner College of Natural Resources, Colorado State University, Fort Collins, CO; </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6</m:t>
            </m:r>
          </m:sup>
        </m:sSup>
      </m:oMath>
      <w:r w:rsidRPr="000118F9">
        <w:rPr>
          <w:rFonts w:cs="Calibri"/>
          <w:color w:val="000000" w:themeColor="text1"/>
        </w:rPr>
        <w:t>Department of Ecosystem Science and Management, University of Wyoming Laramie, WY</w:t>
      </w:r>
    </w:p>
    <w:p w14:paraId="11CF3A23" w14:textId="77777777" w:rsidR="002639F7" w:rsidRPr="000118F9" w:rsidRDefault="00B04E25" w:rsidP="000118F9">
      <w:pPr>
        <w:pStyle w:val="BodyText"/>
        <w:spacing w:line="360" w:lineRule="auto"/>
        <w:rPr>
          <w:rFonts w:cs="Calibri"/>
          <w:color w:val="000000" w:themeColor="text1"/>
        </w:rPr>
      </w:pP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m:t>
            </m:r>
          </m:sup>
        </m:sSup>
      </m:oMath>
      <w:r w:rsidRPr="000118F9">
        <w:rPr>
          <w:rFonts w:cs="Calibri"/>
          <w:color w:val="000000" w:themeColor="text1"/>
        </w:rPr>
        <w:t>Corresponding Author: astears@uwyo.edu</w:t>
      </w:r>
    </w:p>
    <w:p w14:paraId="03D244CD" w14:textId="77777777" w:rsidR="000118F9" w:rsidRPr="000118F9" w:rsidRDefault="00B04E25" w:rsidP="000118F9">
      <w:pPr>
        <w:pStyle w:val="BodyText"/>
        <w:spacing w:line="360" w:lineRule="auto"/>
        <w:rPr>
          <w:rFonts w:cs="Calibri"/>
          <w:color w:val="000000" w:themeColor="text1"/>
        </w:rPr>
      </w:pPr>
      <w:r w:rsidRPr="000118F9">
        <w:rPr>
          <w:rFonts w:cs="Calibri"/>
          <w:b/>
          <w:color w:val="000000" w:themeColor="text1"/>
        </w:rPr>
        <w:t>Keywords:</w:t>
      </w:r>
      <w:r w:rsidRPr="000118F9">
        <w:rPr>
          <w:rFonts w:cs="Calibri"/>
          <w:color w:val="000000" w:themeColor="text1"/>
        </w:rPr>
        <w:t xml:space="preserve"> demographic rates, drought, functional traits, global change, grasslands, vital rates</w:t>
      </w:r>
    </w:p>
    <w:p w14:paraId="68739C67" w14:textId="77777777" w:rsidR="000118F9" w:rsidRPr="000118F9" w:rsidRDefault="000118F9" w:rsidP="000118F9">
      <w:pPr>
        <w:pStyle w:val="BodyText"/>
        <w:numPr>
          <w:ilvl w:val="0"/>
          <w:numId w:val="2"/>
        </w:numPr>
        <w:spacing w:line="360" w:lineRule="auto"/>
        <w:rPr>
          <w:rFonts w:cs="Calibri"/>
          <w:color w:val="000000" w:themeColor="text1"/>
        </w:rPr>
      </w:pPr>
      <w:r w:rsidRPr="000118F9">
        <w:rPr>
          <w:rFonts w:cs="Calibri"/>
          <w:color w:val="000000" w:themeColor="text1"/>
        </w:rPr>
        <w:t>Understanding how plant traits mediate individual-level demographic responses to fluctuating abiotic conditions may provide a mechanistic explanation of species responses to drought. This is critical for understanding how drought, which will only become more frequent and intense with global change, impacts plant communities and ecosystem services.</w:t>
      </w:r>
    </w:p>
    <w:p w14:paraId="41F6B73A" w14:textId="77777777" w:rsidR="000118F9" w:rsidRPr="000118F9" w:rsidRDefault="000118F9" w:rsidP="000118F9">
      <w:pPr>
        <w:pStyle w:val="BodyText"/>
        <w:numPr>
          <w:ilvl w:val="0"/>
          <w:numId w:val="2"/>
        </w:numPr>
        <w:spacing w:line="360" w:lineRule="auto"/>
        <w:rPr>
          <w:rFonts w:cs="Calibri"/>
          <w:color w:val="000000" w:themeColor="text1"/>
        </w:rPr>
      </w:pPr>
      <w:r w:rsidRPr="000118F9">
        <w:rPr>
          <w:rFonts w:cs="Calibri"/>
          <w:color w:val="000000" w:themeColor="text1"/>
        </w:rPr>
        <w:t>We predicted that species with low leaf turgor loss point (TLP) and high leaf and root dry matter content (LDMC and RDMC) are more likely to survive and grow in dry years due to their higher wilting resistance. We predicted that these traits will not impact growth and survival in wet years when plants are not drought stressed.</w:t>
      </w:r>
    </w:p>
    <w:p w14:paraId="504AB436" w14:textId="77777777" w:rsidR="000118F9" w:rsidRPr="000118F9" w:rsidRDefault="000118F9" w:rsidP="000118F9">
      <w:pPr>
        <w:pStyle w:val="BodyText"/>
        <w:numPr>
          <w:ilvl w:val="0"/>
          <w:numId w:val="2"/>
        </w:numPr>
        <w:spacing w:line="360" w:lineRule="auto"/>
        <w:rPr>
          <w:rFonts w:cs="Calibri"/>
          <w:color w:val="000000" w:themeColor="text1"/>
        </w:rPr>
      </w:pPr>
      <w:r w:rsidRPr="000118F9">
        <w:rPr>
          <w:rFonts w:cs="Calibri"/>
          <w:color w:val="000000" w:themeColor="text1"/>
        </w:rPr>
        <w:t xml:space="preserve">We synthesized 15 years of demographic data, species-level functional trait measurements, and records of annual climate in a short-grass steppe ecosystem in northern Colorado (COSGS). We calculated the Standardized Precipitation Evapotranspiration Index (SPEI) for each growing season as a measure of drought intensity. We fit generalized linear mixed effect models to determine whether traits </w:t>
      </w:r>
      <w:r w:rsidRPr="000118F9">
        <w:rPr>
          <w:rFonts w:cs="Calibri"/>
          <w:color w:val="000000" w:themeColor="text1"/>
        </w:rPr>
        <w:lastRenderedPageBreak/>
        <w:t>interact with drought intensity to impact growth and survival while accounting for plant size and local intraspecific competition.</w:t>
      </w:r>
    </w:p>
    <w:p w14:paraId="00AAD616" w14:textId="77777777" w:rsidR="000118F9" w:rsidRPr="000118F9" w:rsidRDefault="000118F9" w:rsidP="000118F9">
      <w:pPr>
        <w:pStyle w:val="BodyText"/>
        <w:numPr>
          <w:ilvl w:val="0"/>
          <w:numId w:val="2"/>
        </w:numPr>
        <w:spacing w:line="360" w:lineRule="auto"/>
        <w:rPr>
          <w:rFonts w:cs="Calibri"/>
          <w:color w:val="000000" w:themeColor="text1"/>
        </w:rPr>
      </w:pPr>
      <w:r w:rsidRPr="000118F9">
        <w:rPr>
          <w:rFonts w:cs="Calibri"/>
          <w:color w:val="000000" w:themeColor="text1"/>
        </w:rPr>
        <w:t xml:space="preserve">Plant size had consistently positive effects on survival across all species. Local intraspecific competition had consistently negative effects on growth and survival across all species. Graminoids with more negative leaf TLP and higher LDMC and RDMC had higher survival rates in dry years, while graminoids with less negative leaf TLP and lower LDMC and RDMC are larger in year </w:t>
      </w:r>
      <w:r w:rsidRPr="000118F9">
        <w:rPr>
          <w:rFonts w:cs="Calibri"/>
          <w:i/>
          <w:color w:val="000000" w:themeColor="text1"/>
        </w:rPr>
        <w:t>t+1</w:t>
      </w:r>
      <w:r w:rsidRPr="000118F9">
        <w:rPr>
          <w:rFonts w:cs="Calibri"/>
          <w:color w:val="000000" w:themeColor="text1"/>
        </w:rPr>
        <w:t xml:space="preserve"> than high TLP, low LDMC and RDMC counterparts, both in wet and dry years. Forbs demonstrated similar yet more variable responses to inter-annual climate.</w:t>
      </w:r>
    </w:p>
    <w:p w14:paraId="1110A63C" w14:textId="34E3A9FD" w:rsidR="000118F9" w:rsidRPr="000118F9" w:rsidRDefault="000118F9" w:rsidP="000118F9">
      <w:pPr>
        <w:pStyle w:val="BodyText"/>
        <w:numPr>
          <w:ilvl w:val="0"/>
          <w:numId w:val="2"/>
        </w:numPr>
        <w:spacing w:line="360" w:lineRule="auto"/>
        <w:rPr>
          <w:rFonts w:cs="Calibri"/>
          <w:color w:val="000000" w:themeColor="text1"/>
        </w:rPr>
      </w:pPr>
      <w:r w:rsidRPr="000118F9">
        <w:rPr>
          <w:rFonts w:cs="Calibri"/>
          <w:i/>
          <w:color w:val="000000" w:themeColor="text1"/>
        </w:rPr>
        <w:t>Synthesis</w:t>
      </w:r>
      <w:r w:rsidRPr="000118F9">
        <w:rPr>
          <w:rFonts w:cs="Calibri"/>
          <w:color w:val="000000" w:themeColor="text1"/>
        </w:rPr>
        <w:t xml:space="preserve"> The effects of abiotic environmental variation are mediated by plant functional traits, which dictate the nature of a plant’s physiological response and the associated impact on demographic rates. Traits significantly mediated the impact of drought on survival, but not on growth, indicating that survival is the primary demographic driver of species responses to low water availability in this system. The physiological trait leaf TLP is a good predictor of survival in response to drought, but the easier-to-measure morphological traits LDMC and RDMC are equal or better predictors. These results advance our understanding of the mechanisms by which drought intensity drives plant population dynamics, and will refine our predictions of how plant communities will respond to more intense and frequent drought.</w:t>
      </w:r>
    </w:p>
    <w:p w14:paraId="531C24A8" w14:textId="77777777" w:rsidR="000118F9" w:rsidRPr="000118F9" w:rsidRDefault="000118F9">
      <w:pPr>
        <w:pStyle w:val="BodyText"/>
        <w:rPr>
          <w:rFonts w:cs="Calibri"/>
          <w:color w:val="000000" w:themeColor="text1"/>
        </w:rPr>
      </w:pPr>
    </w:p>
    <w:p w14:paraId="5BFCE719" w14:textId="77777777" w:rsidR="002639F7" w:rsidRPr="000118F9" w:rsidRDefault="00B04E25" w:rsidP="000118F9">
      <w:pPr>
        <w:pStyle w:val="Heading1"/>
        <w:spacing w:line="480" w:lineRule="auto"/>
        <w:rPr>
          <w:rFonts w:asciiTheme="minorHAnsi" w:hAnsiTheme="minorHAnsi" w:cs="Calibri"/>
          <w:color w:val="000000" w:themeColor="text1"/>
          <w:sz w:val="24"/>
          <w:szCs w:val="24"/>
        </w:rPr>
      </w:pPr>
      <w:bookmarkStart w:id="0" w:name="introduction"/>
      <w:r w:rsidRPr="000118F9">
        <w:rPr>
          <w:rFonts w:asciiTheme="minorHAnsi" w:hAnsiTheme="minorHAnsi" w:cs="Calibri"/>
          <w:color w:val="000000" w:themeColor="text1"/>
          <w:sz w:val="24"/>
          <w:szCs w:val="24"/>
        </w:rPr>
        <w:t>Introduction</w:t>
      </w:r>
    </w:p>
    <w:p w14:paraId="103A936F" w14:textId="77777777" w:rsidR="002639F7" w:rsidRPr="000118F9" w:rsidRDefault="00B04E25" w:rsidP="000118F9">
      <w:pPr>
        <w:pStyle w:val="FirstParagraph"/>
        <w:spacing w:line="480" w:lineRule="auto"/>
        <w:rPr>
          <w:rFonts w:cs="Calibri"/>
          <w:color w:val="000000" w:themeColor="text1"/>
        </w:rPr>
      </w:pPr>
      <w:r w:rsidRPr="000118F9">
        <w:rPr>
          <w:rFonts w:cs="Calibri"/>
          <w:color w:val="000000" w:themeColor="text1"/>
        </w:rPr>
        <w:t xml:space="preserve">As the frequency and intensity of extreme weather events increases with climate change, it becomes increasingly important to understand how plant populations and communities will respond (Vicente-Serrano et al. 2020). Climate models predict that some regions will receive more precipitation in concentrated extreme-precipitation events, while other regions will receive less moisture overall with longer periods of more extreme drought </w:t>
      </w:r>
      <w:r w:rsidRPr="000118F9">
        <w:rPr>
          <w:rFonts w:cs="Calibri"/>
          <w:color w:val="000000" w:themeColor="text1"/>
        </w:rPr>
        <w:lastRenderedPageBreak/>
        <w:t>between precipitation events (Knapp et al. 2008). While climate models struggle to predict fine-scale variation in precipitation, it is generally agreed that western North America will undergo more frequent and intense drought as climate change progresses (Hartmann et al. 2013).</w:t>
      </w:r>
    </w:p>
    <w:p w14:paraId="3236CBA3" w14:textId="77777777" w:rsidR="002639F7" w:rsidRPr="000118F9" w:rsidRDefault="00B04E25" w:rsidP="000118F9">
      <w:pPr>
        <w:pStyle w:val="BodyText"/>
        <w:spacing w:line="480" w:lineRule="auto"/>
        <w:rPr>
          <w:rFonts w:cs="Calibri"/>
          <w:color w:val="000000" w:themeColor="text1"/>
        </w:rPr>
      </w:pPr>
      <w:r w:rsidRPr="000118F9">
        <w:rPr>
          <w:rFonts w:cs="Calibri"/>
          <w:color w:val="000000" w:themeColor="text1"/>
        </w:rPr>
        <w:t xml:space="preserve">Environmental variation such as drought ultimately acts on plant demographic processes like as growth, survival, and reproduction. This impact is primarily facilitated by the phenotype of a plant, which can be quantitatively characterized by functional trait values. In order to improve our understanding of how plant populations and communities respond to climate change, it is useful to define how plant functional traits mediate the effect of environmental variation on plant fitness, and to identify the functional traits that are relevant to this process for different abiotic stressors. Previous work has characterized variation in community-level functional trait values along gradients of aridity. Both experimentally-induced and naturally-occurring gradients of water availability drive shifts in community-weighted mean (CWM) trait values. For example, drier communities have lower CWM-SLA (Nunes et al. 2017; Cornwell and Ackerly 2009). And in these dry communities, higher SLA species increase in abundance in wet years (Wilcox et al. 2020). Other studies observed little to no variation in CWM traits after drought, but have identified either decreased functional diversity (FD) in dry sites (Luo et al. 2019) or increased FD immediately after experimentally-induced drought (Griffin-Nolan et al. 2019). In North American shortgrass steppe, plant species with low leaf osmotic potential (a primary determinant of turgor loss point), high leaf dry matter content (LDMC) and low SLA are relatively insensitive to interannual precipitation variability (Wilcox et al. 2020). In the same ecosystem, correlations among these and other traits indicate tradeoffs between </w:t>
      </w:r>
      <w:r w:rsidRPr="000118F9">
        <w:rPr>
          <w:rFonts w:cs="Calibri"/>
          <w:color w:val="000000" w:themeColor="text1"/>
        </w:rPr>
        <w:lastRenderedPageBreak/>
        <w:t>drought resistance and rapid resource acquisition and use (Blumenthal et al. 2020). Determining how these traits affect growth and survival of individual plants can help provide a mechanistic understanding of plant population responses to interannual variation in weather.</w:t>
      </w:r>
    </w:p>
    <w:p w14:paraId="7B2EFC89" w14:textId="77777777" w:rsidR="002639F7" w:rsidRPr="000118F9" w:rsidRDefault="00B04E25" w:rsidP="000118F9">
      <w:pPr>
        <w:pStyle w:val="BodyText"/>
        <w:spacing w:line="480" w:lineRule="auto"/>
        <w:rPr>
          <w:rFonts w:cs="Calibri"/>
          <w:color w:val="000000" w:themeColor="text1"/>
        </w:rPr>
      </w:pPr>
      <w:r w:rsidRPr="000118F9">
        <w:rPr>
          <w:rFonts w:cs="Calibri"/>
          <w:color w:val="000000" w:themeColor="text1"/>
        </w:rPr>
        <w:t>Individual-level impacts of abiotic variation are observed first in the physiological responses of plants to stress, such as wilting in response to decreased water availability (Bartlett et al. 2012; Bartletta et al. 2016). After a plant’s physiological ability to withstand or escape drought is surpassed, death or decreased fecundity negatively impacts population sizes for more drought-susceptible species (Koerner and Collins 2014; McDowell et al. 2008). Community composition may then be altered, in turn altering the competitive and facilitative interactions between individuals within that community (Ploughe et al. 2019; Harrison, Gornish, and Copeland 2015). In extreme cases, this process can lead to either species extirpation or recruitment of formerly absent species to the local species pool, changing both the functional and phylogenetic diversity of the plant community. Evaluating the underlying demographic mechanisms and plant-plant interactions that are driving community dynamics is an important next step in functional and population ecology, and will allow us to to understand and predict how demographic rates mediate the impacts of extreme climate impacts on plant phenotypic traits (Laughlin et al. 2020; Ploughe et al. 2019; Hoover, Knapp, and Smith 2014; Salguero-Gómez et al. 2012).</w:t>
      </w:r>
    </w:p>
    <w:p w14:paraId="549B092E" w14:textId="77777777" w:rsidR="002639F7" w:rsidRPr="000118F9" w:rsidRDefault="00B04E25" w:rsidP="000118F9">
      <w:pPr>
        <w:pStyle w:val="BodyText"/>
        <w:spacing w:line="480" w:lineRule="auto"/>
        <w:rPr>
          <w:rFonts w:cs="Calibri"/>
          <w:color w:val="000000" w:themeColor="text1"/>
        </w:rPr>
      </w:pPr>
      <w:r w:rsidRPr="000118F9">
        <w:rPr>
          <w:rFonts w:cs="Calibri"/>
          <w:color w:val="000000" w:themeColor="text1"/>
        </w:rPr>
        <w:t xml:space="preserve">In order to isolate the importance of functional traits for plant responses to drought, we must recognize and account for factors unrelated to functional traits that impact how </w:t>
      </w:r>
      <w:r w:rsidRPr="000118F9">
        <w:rPr>
          <w:rFonts w:cs="Calibri"/>
          <w:color w:val="000000" w:themeColor="text1"/>
        </w:rPr>
        <w:lastRenderedPageBreak/>
        <w:t xml:space="preserve">plants respond to abiotic conditions, such as size in year </w:t>
      </w:r>
      <w:r w:rsidRPr="000118F9">
        <w:rPr>
          <w:rFonts w:cs="Calibri"/>
          <w:i/>
          <w:color w:val="000000" w:themeColor="text1"/>
        </w:rPr>
        <w:t>t</w:t>
      </w:r>
      <w:r w:rsidRPr="000118F9">
        <w:rPr>
          <w:rFonts w:cs="Calibri"/>
          <w:color w:val="000000" w:themeColor="text1"/>
        </w:rPr>
        <w:t xml:space="preserve">. An individual is more likely to survive to the next year if it is larger and more established than a smaller individual of the same species (Tredennick, Hooten, and Adler 2017). Second, competition between individuals also negatively impacts demographic rates (Adler, Dalgleish, and Ellner 2012). Third, demographic rates, namely growth, survival, and reproduction, often differ in their sensitivity to environmental variation, as well as their relative importance for whole-plant fitness (Laughlin et al. 2020; Dibner et al. 2019). Even after accounting for these known drivers of demography, we lack a general understanding of which traits interact with drought to drive plant demographic rates, and thus fitness (Laughlin et al. 2018, 2020)(Fig. </w:t>
      </w:r>
      <w:hyperlink w:anchor="fig:ConceptFig">
        <w:r w:rsidRPr="000118F9">
          <w:rPr>
            <w:rStyle w:val="Hyperlink"/>
            <w:rFonts w:cs="Calibri"/>
            <w:color w:val="000000" w:themeColor="text1"/>
          </w:rPr>
          <w:t>1</w:t>
        </w:r>
      </w:hyperlink>
      <w:r w:rsidRPr="000118F9">
        <w:rPr>
          <w:rFonts w:cs="Calibri"/>
          <w:color w:val="000000" w:themeColor="text1"/>
        </w:rPr>
        <w:t>).</w:t>
      </w:r>
    </w:p>
    <w:p w14:paraId="5ABC1BD3" w14:textId="77777777" w:rsidR="002639F7" w:rsidRPr="000118F9" w:rsidRDefault="00B04E25" w:rsidP="000118F9">
      <w:pPr>
        <w:pStyle w:val="BodyText"/>
        <w:spacing w:line="480" w:lineRule="auto"/>
        <w:rPr>
          <w:rFonts w:cs="Calibri"/>
          <w:color w:val="000000" w:themeColor="text1"/>
        </w:rPr>
      </w:pPr>
      <w:r w:rsidRPr="000118F9">
        <w:rPr>
          <w:rFonts w:cs="Calibri"/>
          <w:color w:val="000000" w:themeColor="text1"/>
        </w:rPr>
        <w:t xml:space="preserve">While definitions of "functional traits" abound (Violle et al. 2007; Volaire, Gleason, and Delzon 2020; McGill et al. 2006), a majority of plant functional trait-based studies focus on a similar set of traits, specifically "leaf economic traits" such as specific leaf area (SLA) (Wright et al. 2004; Reich 2014) and "root economic traits" such as root tissue density (Kramer-Walter et al. 2016). These "economic traits" are correlated with each other along a axis that represents a plant’s resource acquisition strategy, ranging along a spectrum from ’fast’ (e.g. high SLA, low LDMC) to ’slow’ (e.g. low SLA, high LDMC). Economic trait values indicate a plant’s strategy for acquiring any limiting resource, including carbon, nutrients, and water (Reich 2014). We measured SLA, LDMC, and RDMC, economic traits that are correlated with plant relative growth rate and resource-acquisition strategy (Weiher et al. 1999). We expect that LDMC, in particular, is relevant to a plant’s ability to acquire water under drought conditions because it is a more direct measurement of leaf structure and allocation of carbon to leaf tissue than SLA (Niinemets 1999; Hodgson et al. 2011). Species </w:t>
      </w:r>
      <w:r w:rsidRPr="000118F9">
        <w:rPr>
          <w:rFonts w:cs="Calibri"/>
          <w:color w:val="000000" w:themeColor="text1"/>
        </w:rPr>
        <w:lastRenderedPageBreak/>
        <w:t>with higher LDMC have higher allocation to cell wall structure and more densely-packed leaf cells, and thus are more likely to maintain cell turgor under water stress (Niinemets 2001; Poorter et al. 2009; Wilcox et al. 2020).</w:t>
      </w:r>
    </w:p>
    <w:p w14:paraId="7D845FFD" w14:textId="77777777" w:rsidR="002639F7" w:rsidRPr="000118F9" w:rsidRDefault="00B04E25" w:rsidP="000118F9">
      <w:pPr>
        <w:pStyle w:val="BodyText"/>
        <w:spacing w:line="480" w:lineRule="auto"/>
        <w:rPr>
          <w:rFonts w:cs="Calibri"/>
          <w:color w:val="000000" w:themeColor="text1"/>
        </w:rPr>
      </w:pPr>
      <w:r w:rsidRPr="000118F9">
        <w:rPr>
          <w:rFonts w:cs="Calibri"/>
          <w:color w:val="000000" w:themeColor="text1"/>
        </w:rPr>
        <w:t>Leaf economic traits are often morphological, and while they are indicative of different strategies to deal with stress and disturbance, they typically do not directly measure the physiological mechanisms that underpin these strategies. Because of this, some argue that these traits are useful for predicting and identifying population or species-level responses to environmental variation, but have limited utility when predicting how individual plants respond to variation in environmental conditions (Volaire 2018). Instead, physiological traits such as cavitation resistance or osmotic potentials might be more useful for identifying patterns of individual plant responses to abiotic conditions such as soil water availability. While this dichotomy between ’functional and physiological traits’ and their respective utility may be too strict, it does highlight the importance of considering plant traits that directly measure the physiological processes underlying plant adaptations to abiotic variation.</w:t>
      </w:r>
    </w:p>
    <w:p w14:paraId="5A637428" w14:textId="77777777" w:rsidR="002639F7" w:rsidRPr="000118F9" w:rsidRDefault="00B04E25" w:rsidP="000118F9">
      <w:pPr>
        <w:pStyle w:val="BodyText"/>
        <w:spacing w:line="480" w:lineRule="auto"/>
        <w:rPr>
          <w:rFonts w:cs="Calibri"/>
          <w:color w:val="000000" w:themeColor="text1"/>
        </w:rPr>
      </w:pPr>
      <w:r w:rsidRPr="000118F9">
        <w:rPr>
          <w:rFonts w:cs="Calibri"/>
          <w:color w:val="000000" w:themeColor="text1"/>
        </w:rPr>
        <w:t xml:space="preserve">In this study we focus on the physiological trait leaf turgor loss point (TLP), a measure of the osmotic pressure within a leaf at which leaf cells begin to lose turgor and the leaf loses function (Bartlett, Scoffoni, and Sack 2012; Bartletta et al. 2016). Species or individuals that can withstand more water loss before losing leaf cell turgor (indicated by a more negative TLP) have greater physiological drought tolerance. This trait is traditionally measured by creating pressure-volume curves, a labor and time-intensive process, but recent advances have identified a method that is much faster and easier. This method uses a vapor pressure </w:t>
      </w:r>
      <w:r w:rsidRPr="000118F9">
        <w:rPr>
          <w:rFonts w:cs="Calibri"/>
          <w:color w:val="000000" w:themeColor="text1"/>
        </w:rPr>
        <w:lastRenderedPageBreak/>
        <w:t>osmometer to identify the leaf osmotic potential, or leaf cell solute potential at full hydration, which is tightly correlated with leaf TLP in woody species (Bartlett et al. 2012) and herbaceous species in western North American grasslands (Griffin-Nolan et al. 2019). TLP has been linked to leaf-level drought tolerance, since species with lower leaf TLP have the ability to maintain cell turgor, stomatal and hydraulic conductance, and gas exchange at more negative soil water potentials than species with less negative leaf TLP (Bartlett, Scoffoni, and Sack 2012). In semiarid shortgrass steppe, leaf TLP is predictive of species abundances, with lower TLP species having lower precipitation sensitivity (Wilcox et al. 2020). In this system, leaf TLP is also correlated with other traits that confer drought tolerance, and a resource conservative growth strategy such as high LDMC, and low leaf nitrogen and phosphorous (Blumenthal et al. 2020). However, the extent to which TLP variation mediates the effect of drought on plant survival and growth is not known. We also lack robust evidence to show that physiological traits are better than morphological traits for predicting the impact of water availability on demographic rates .</w:t>
      </w:r>
    </w:p>
    <w:p w14:paraId="346BF720" w14:textId="77777777" w:rsidR="002639F7" w:rsidRPr="000118F9" w:rsidRDefault="00B04E25" w:rsidP="000118F9">
      <w:pPr>
        <w:pStyle w:val="BodyText"/>
        <w:spacing w:line="480" w:lineRule="auto"/>
        <w:rPr>
          <w:rFonts w:cs="Calibri"/>
          <w:color w:val="000000" w:themeColor="text1"/>
        </w:rPr>
      </w:pPr>
      <w:r w:rsidRPr="000118F9">
        <w:rPr>
          <w:rFonts w:cs="Calibri"/>
          <w:color w:val="000000" w:themeColor="text1"/>
        </w:rPr>
        <w:t xml:space="preserve">To address these knowledge gaps, we evaluated whether species-level plant functional traits related to water use impact species growth and survival, two critical components of fitness for perennial plants, across a temporal gradient of water availability in a Colorado shortgrass steppe ecosystem. We integrated long-term demographic data from chart-quadrats, climate records, and species-level trait measurements to develop statistical models that quantify how traits predict survival and growth, and how the nature of that relationship changes according to inter-annual drought intensity. We predicted that (1) species with low TLP and high tissue DMC (dry matter content) will have higher growth and survival rates in dry years than species with high TLP and low tissue DMC (Fig. </w:t>
      </w:r>
      <w:hyperlink w:anchor="fig:ConceptFig">
        <w:r w:rsidRPr="000118F9">
          <w:rPr>
            <w:rStyle w:val="Hyperlink"/>
            <w:rFonts w:cs="Calibri"/>
            <w:color w:val="000000" w:themeColor="text1"/>
          </w:rPr>
          <w:t>1</w:t>
        </w:r>
      </w:hyperlink>
      <w:r w:rsidRPr="000118F9">
        <w:rPr>
          <w:rFonts w:cs="Calibri"/>
          <w:color w:val="000000" w:themeColor="text1"/>
        </w:rPr>
        <w:t xml:space="preserve">). We </w:t>
      </w:r>
      <w:r w:rsidRPr="000118F9">
        <w:rPr>
          <w:rFonts w:cs="Calibri"/>
          <w:color w:val="000000" w:themeColor="text1"/>
        </w:rPr>
        <w:lastRenderedPageBreak/>
        <w:t>also predict that (2) physiological and morphological traits related to water use, such as TLP and LDMC, will be better predictors of growth and survival in response to drought when compared to leaf economic traits, such as SLA (Wright et al. 2004; Reich 2014). We also predict that (3) physiological traits will be stronger predictors of survival than easy-to-measure functional traits, since they are more direct measurements of physiological processes that impact growth and survival. Finally, we expect to (4) identify an interactive effect of traits and SPEI on survival and growth. That is, traits that are related to water use will predict growth and survival in dry years, but will not be important for predicting demographic rates in wet years when plants are not as water-limited.</w:t>
      </w:r>
    </w:p>
    <w:p w14:paraId="2CF4633D" w14:textId="77777777" w:rsidR="002639F7" w:rsidRPr="000118F9" w:rsidRDefault="00B04E25" w:rsidP="000118F9">
      <w:pPr>
        <w:pStyle w:val="CaptionedFigure"/>
        <w:spacing w:line="360" w:lineRule="auto"/>
        <w:rPr>
          <w:rFonts w:cs="Calibri"/>
          <w:iCs/>
          <w:color w:val="000000" w:themeColor="text1"/>
        </w:rPr>
      </w:pPr>
      <w:bookmarkStart w:id="1" w:name="fig:ConceptFig"/>
      <w:r w:rsidRPr="000118F9">
        <w:rPr>
          <w:rFonts w:cs="Calibri"/>
          <w:iCs/>
          <w:noProof/>
          <w:color w:val="000000" w:themeColor="text1"/>
        </w:rPr>
        <w:drawing>
          <wp:inline distT="0" distB="0" distL="0" distR="0" wp14:anchorId="5AB99823" wp14:editId="1D0E56C6">
            <wp:extent cx="5334000" cy="2000250"/>
            <wp:effectExtent l="0" t="0" r="0" b="0"/>
            <wp:docPr id="1" name="Picture" descr=" The demographic rates of growth, survival, and reproduction, are impacted by environmental variation, interactions with local neighbors, and plant size. We focus here on plant growth and survival due to a lack of information on recruitment rates. The impact of environmental variation on an organism’s demographic rates is likely mediated by the functional traits of that organism. This is especially likely for traits that are related to environmental conditions that are most limiting or stress-inducing in a given habitat. In semiarid steppe, traits related to water use might be more important for plant growth and survival in very dry years, and relatively less important in years with high water availability. The figure on the right of this diagram shows how a trait related to drought-tolerance may mediate the effect of climate on growth and survival. Specifically, we predicted that water-use traits impact survival or growth rates in dry years, but are not important in wet years when a plant is not experiencing severe water stress. "/>
            <wp:cNvGraphicFramePr/>
            <a:graphic xmlns:a="http://schemas.openxmlformats.org/drawingml/2006/main">
              <a:graphicData uri="http://schemas.openxmlformats.org/drawingml/2006/picture">
                <pic:pic xmlns:pic="http://schemas.openxmlformats.org/drawingml/2006/picture">
                  <pic:nvPicPr>
                    <pic:cNvPr id="0" name="Picture" descr="CO_sgs_ConceptualFigure.pdf"/>
                    <pic:cNvPicPr>
                      <a:picLocks noChangeAspect="1" noChangeArrowheads="1"/>
                    </pic:cNvPicPr>
                  </pic:nvPicPr>
                  <pic:blipFill>
                    <a:blip r:embed="rId7"/>
                    <a:stretch>
                      <a:fillRect/>
                    </a:stretch>
                  </pic:blipFill>
                  <pic:spPr bwMode="auto">
                    <a:xfrm>
                      <a:off x="0" y="0"/>
                      <a:ext cx="5334000" cy="2000250"/>
                    </a:xfrm>
                    <a:prstGeom prst="rect">
                      <a:avLst/>
                    </a:prstGeom>
                    <a:noFill/>
                    <a:ln w="9525">
                      <a:noFill/>
                      <a:headEnd/>
                      <a:tailEnd/>
                    </a:ln>
                  </pic:spPr>
                </pic:pic>
              </a:graphicData>
            </a:graphic>
          </wp:inline>
        </w:drawing>
      </w:r>
      <w:bookmarkEnd w:id="1"/>
    </w:p>
    <w:p w14:paraId="368FE21E" w14:textId="7F271D9D" w:rsidR="002639F7" w:rsidRPr="000118F9" w:rsidRDefault="000118F9" w:rsidP="000118F9">
      <w:pPr>
        <w:pStyle w:val="ImageCaption"/>
        <w:spacing w:line="360" w:lineRule="auto"/>
        <w:rPr>
          <w:rFonts w:cs="Calibri"/>
          <w:i w:val="0"/>
          <w:iCs/>
          <w:color w:val="000000" w:themeColor="text1"/>
        </w:rPr>
      </w:pPr>
      <w:r w:rsidRPr="000118F9">
        <w:rPr>
          <w:rFonts w:cs="Calibri"/>
          <w:b/>
          <w:bCs/>
          <w:i w:val="0"/>
          <w:iCs/>
          <w:color w:val="000000" w:themeColor="text1"/>
        </w:rPr>
        <w:t>Figure 1</w:t>
      </w:r>
      <w:r w:rsidRPr="000118F9">
        <w:rPr>
          <w:rFonts w:cs="Calibri"/>
          <w:i w:val="0"/>
          <w:iCs/>
          <w:color w:val="000000" w:themeColor="text1"/>
        </w:rPr>
        <w:t xml:space="preserve">. </w:t>
      </w:r>
      <w:r w:rsidR="00B04E25" w:rsidRPr="000118F9">
        <w:rPr>
          <w:rFonts w:cs="Calibri"/>
          <w:i w:val="0"/>
          <w:iCs/>
          <w:color w:val="000000" w:themeColor="text1"/>
        </w:rPr>
        <w:t xml:space="preserve"> The demographic rates of growth, survival, and reproduction, are impacted by environmental variation, interactions with local neighbors, and plant size. We focus here on plant growth and survival due to a lack of information on recruitment rates. The impact of environmental variation on an organism’s demographic rates is likely mediated by the functional traits of that organism. This is especially likely for traits that are related to environmental conditions that are most limiting or stress-inducing in a given habitat. In semiarid steppe, traits related to water use might be more important for plant growth and survival in very dry years, and relatively less important in years with high water availability. The figure on the right of this diagram shows how a trait related to drought-tolerance may mediate the effect of climate on growth and survival. Specifically, we </w:t>
      </w:r>
      <w:r w:rsidR="00B04E25" w:rsidRPr="000118F9">
        <w:rPr>
          <w:rFonts w:cs="Calibri"/>
          <w:i w:val="0"/>
          <w:iCs/>
          <w:color w:val="000000" w:themeColor="text1"/>
        </w:rPr>
        <w:lastRenderedPageBreak/>
        <w:t xml:space="preserve">predicted that water-use traits impact survival or growth rates in dry years, but are not important in wet years when a plant is not experiencing severe water stress. </w:t>
      </w:r>
    </w:p>
    <w:p w14:paraId="48E27343" w14:textId="77777777" w:rsidR="002639F7" w:rsidRPr="000118F9" w:rsidRDefault="00B04E25" w:rsidP="000118F9">
      <w:pPr>
        <w:pStyle w:val="Heading1"/>
        <w:spacing w:line="480" w:lineRule="auto"/>
        <w:rPr>
          <w:rFonts w:asciiTheme="minorHAnsi" w:hAnsiTheme="minorHAnsi" w:cs="Calibri"/>
          <w:color w:val="000000" w:themeColor="text1"/>
          <w:sz w:val="24"/>
          <w:szCs w:val="24"/>
        </w:rPr>
      </w:pPr>
      <w:bookmarkStart w:id="2" w:name="methods"/>
      <w:bookmarkEnd w:id="0"/>
      <w:r w:rsidRPr="000118F9">
        <w:rPr>
          <w:rFonts w:asciiTheme="minorHAnsi" w:hAnsiTheme="minorHAnsi" w:cs="Calibri"/>
          <w:color w:val="000000" w:themeColor="text1"/>
          <w:sz w:val="24"/>
          <w:szCs w:val="24"/>
        </w:rPr>
        <w:t>Methods</w:t>
      </w:r>
    </w:p>
    <w:p w14:paraId="326CAD6E" w14:textId="77777777" w:rsidR="002639F7" w:rsidRPr="000118F9" w:rsidRDefault="00B04E25" w:rsidP="000118F9">
      <w:pPr>
        <w:pStyle w:val="Heading2"/>
        <w:spacing w:line="480" w:lineRule="auto"/>
        <w:rPr>
          <w:rFonts w:asciiTheme="minorHAnsi" w:hAnsiTheme="minorHAnsi" w:cs="Calibri"/>
          <w:color w:val="000000" w:themeColor="text1"/>
          <w:sz w:val="24"/>
          <w:szCs w:val="24"/>
        </w:rPr>
      </w:pPr>
      <w:bookmarkStart w:id="3" w:name="demographic-data"/>
      <w:r w:rsidRPr="000118F9">
        <w:rPr>
          <w:rFonts w:asciiTheme="minorHAnsi" w:hAnsiTheme="minorHAnsi" w:cs="Calibri"/>
          <w:i/>
          <w:color w:val="000000" w:themeColor="text1"/>
          <w:sz w:val="24"/>
          <w:szCs w:val="24"/>
        </w:rPr>
        <w:t>Demographic Data</w:t>
      </w:r>
    </w:p>
    <w:p w14:paraId="0E461182" w14:textId="312CD865" w:rsidR="002639F7" w:rsidRPr="000118F9" w:rsidRDefault="00B04E25" w:rsidP="000118F9">
      <w:pPr>
        <w:pStyle w:val="FirstParagraph"/>
        <w:spacing w:line="480" w:lineRule="auto"/>
        <w:rPr>
          <w:rFonts w:cs="Calibri"/>
          <w:color w:val="000000" w:themeColor="text1"/>
        </w:rPr>
      </w:pPr>
      <w:r w:rsidRPr="000118F9">
        <w:rPr>
          <w:rFonts w:cs="Calibri"/>
          <w:color w:val="000000" w:themeColor="text1"/>
        </w:rPr>
        <w:t xml:space="preserve">We monitored growth and survival for eight graminoid and eight forb species (Table </w:t>
      </w:r>
      <w:hyperlink w:anchor="TraitMeasurements">
        <w:r w:rsidR="00C21B31">
          <w:rPr>
            <w:rStyle w:val="Hyperlink"/>
            <w:rFonts w:cs="Calibri"/>
            <w:color w:val="000000" w:themeColor="text1"/>
          </w:rPr>
          <w:t>S1</w:t>
        </w:r>
      </w:hyperlink>
      <w:r w:rsidRPr="000118F9">
        <w:rPr>
          <w:rFonts w:cs="Calibri"/>
          <w:color w:val="000000" w:themeColor="text1"/>
        </w:rPr>
        <w:t>)in 24, 1-m</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2</m:t>
            </m:r>
          </m:sup>
        </m:sSup>
      </m:oMath>
      <w:r w:rsidRPr="000118F9">
        <w:rPr>
          <w:rFonts w:cs="Calibri"/>
          <w:color w:val="000000" w:themeColor="text1"/>
        </w:rPr>
        <w:t xml:space="preserve"> chart-quadrats from 1997 to 2010 at the Central Plains Experimental Research location (CPER) in Nunn, Colorado, USA (40.8</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o</m:t>
            </m:r>
          </m:sup>
        </m:sSup>
      </m:oMath>
      <w:r w:rsidRPr="000118F9">
        <w:rPr>
          <w:rFonts w:cs="Calibri"/>
          <w:color w:val="000000" w:themeColor="text1"/>
        </w:rPr>
        <w:t>N/110.8</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o</m:t>
            </m:r>
          </m:sup>
        </m:sSup>
      </m:oMath>
      <w:r w:rsidRPr="000118F9">
        <w:rPr>
          <w:rFonts w:cs="Calibri"/>
          <w:color w:val="000000" w:themeColor="text1"/>
        </w:rPr>
        <w:t xml:space="preserve">W). These quadrats were established as part of the Shortgrass Steppe Long Term Ecological Research project (Chu et al. 2013). This site is located at 1650 m elevation in the North American shortgrass steppe, which is dominated by </w:t>
      </w:r>
      <w:r w:rsidRPr="000118F9">
        <w:rPr>
          <w:rFonts w:cs="Calibri"/>
          <w:i/>
          <w:color w:val="000000" w:themeColor="text1"/>
        </w:rPr>
        <w:t>Bouteloua gracilis</w:t>
      </w:r>
      <w:r w:rsidRPr="000118F9">
        <w:rPr>
          <w:rFonts w:cs="Calibri"/>
          <w:color w:val="000000" w:themeColor="text1"/>
        </w:rPr>
        <w:t xml:space="preserve"> and </w:t>
      </w:r>
      <w:r w:rsidRPr="000118F9">
        <w:rPr>
          <w:rFonts w:cs="Calibri"/>
          <w:i/>
          <w:color w:val="000000" w:themeColor="text1"/>
        </w:rPr>
        <w:t>Bouteloua dactyloides</w:t>
      </w:r>
      <w:r w:rsidRPr="000118F9">
        <w:rPr>
          <w:rFonts w:cs="Calibri"/>
          <w:color w:val="000000" w:themeColor="text1"/>
        </w:rPr>
        <w:t xml:space="preserve">. It receives an average of 340 mm of precipitation annually, and has a mean annual temperature of 8 </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o</m:t>
            </m:r>
          </m:sup>
        </m:sSup>
      </m:oMath>
      <w:r w:rsidRPr="000118F9">
        <w:rPr>
          <w:rFonts w:cs="Calibri"/>
          <w:color w:val="000000" w:themeColor="text1"/>
        </w:rPr>
        <w:t>C (Chu et al. 2014). Soils at the CPER are primarily Mollisols and Aridisols.</w:t>
      </w:r>
    </w:p>
    <w:p w14:paraId="311A52B6" w14:textId="77777777" w:rsidR="002639F7" w:rsidRPr="000118F9" w:rsidRDefault="00B04E25" w:rsidP="000118F9">
      <w:pPr>
        <w:pStyle w:val="BodyText"/>
        <w:spacing w:line="480" w:lineRule="auto"/>
        <w:rPr>
          <w:rFonts w:cs="Calibri"/>
          <w:color w:val="000000" w:themeColor="text1"/>
        </w:rPr>
      </w:pPr>
      <w:r w:rsidRPr="000118F9">
        <w:rPr>
          <w:rFonts w:cs="Calibri"/>
          <w:color w:val="000000" w:themeColor="text1"/>
        </w:rPr>
        <w:t>The chart-quadrat method used does not assign each individual a unique identifying number or tag, but does map each individual plant in a spatially explicit manner each year. Bunchgrasses, shrubs, and other plants with a sizeable basal area were mapped as polygons, while grasses and forbs with a small number of stems were mapped as points. Of the species included in this analysis, graminoids were measured as polygons, and forbs were measured as points, so each data type will be referenced as either "graminoids" or "forbs," respectively. Growth can only be extracted from this dataset for individuals measured as polygons, because size is not measured for points. We calculated growth as log(size</w:t>
      </w:r>
      <m:oMath>
        <m:sSub>
          <m:sSubPr>
            <m:ctrlPr>
              <w:rPr>
                <w:rFonts w:ascii="Cambria Math" w:hAnsi="Cambria Math" w:cs="Calibri"/>
                <w:color w:val="000000" w:themeColor="text1"/>
              </w:rPr>
            </m:ctrlPr>
          </m:sSubPr>
          <m:e>
            <m:r>
              <w:rPr>
                <w:rFonts w:ascii="Cambria Math" w:hAnsi="Cambria Math" w:cs="Calibri"/>
                <w:color w:val="000000" w:themeColor="text1"/>
              </w:rPr>
              <m:t>​</m:t>
            </m:r>
          </m:e>
          <m:sub>
            <m:r>
              <w:rPr>
                <w:rFonts w:ascii="Cambria Math" w:hAnsi="Cambria Math" w:cs="Calibri"/>
                <w:color w:val="000000" w:themeColor="text1"/>
              </w:rPr>
              <m:t>t+1</m:t>
            </m:r>
          </m:sub>
        </m:sSub>
      </m:oMath>
      <w:r w:rsidRPr="000118F9">
        <w:rPr>
          <w:rFonts w:cs="Calibri"/>
          <w:color w:val="000000" w:themeColor="text1"/>
        </w:rPr>
        <w:t>/size</w:t>
      </w:r>
      <m:oMath>
        <m:sSub>
          <m:sSubPr>
            <m:ctrlPr>
              <w:rPr>
                <w:rFonts w:ascii="Cambria Math" w:hAnsi="Cambria Math" w:cs="Calibri"/>
                <w:color w:val="000000" w:themeColor="text1"/>
              </w:rPr>
            </m:ctrlPr>
          </m:sSubPr>
          <m:e>
            <m:r>
              <w:rPr>
                <w:rFonts w:ascii="Cambria Math" w:hAnsi="Cambria Math" w:cs="Calibri"/>
                <w:color w:val="000000" w:themeColor="text1"/>
              </w:rPr>
              <m:t>​</m:t>
            </m:r>
          </m:e>
          <m:sub>
            <m:r>
              <w:rPr>
                <w:rFonts w:ascii="Cambria Math" w:hAnsi="Cambria Math" w:cs="Calibri"/>
                <w:color w:val="000000" w:themeColor="text1"/>
              </w:rPr>
              <m:t>t</m:t>
            </m:r>
          </m:sub>
        </m:sSub>
      </m:oMath>
      <w:r w:rsidRPr="000118F9">
        <w:rPr>
          <w:rFonts w:cs="Calibri"/>
          <w:color w:val="000000" w:themeColor="text1"/>
        </w:rPr>
        <w:t>) for each individual.</w:t>
      </w:r>
    </w:p>
    <w:p w14:paraId="59E3E995" w14:textId="77777777" w:rsidR="002639F7" w:rsidRPr="000118F9" w:rsidRDefault="00B04E25" w:rsidP="000118F9">
      <w:pPr>
        <w:pStyle w:val="BodyText"/>
        <w:spacing w:line="480" w:lineRule="auto"/>
        <w:rPr>
          <w:rFonts w:cs="Calibri"/>
          <w:color w:val="000000" w:themeColor="text1"/>
        </w:rPr>
      </w:pPr>
      <w:r w:rsidRPr="000118F9">
        <w:rPr>
          <w:rFonts w:cs="Calibri"/>
          <w:color w:val="000000" w:themeColor="text1"/>
        </w:rPr>
        <w:lastRenderedPageBreak/>
        <w:t xml:space="preserve">We extracted growth and survival data from a digitized version of this map dataset using "tracking algorithms" in R (Lauenroth and Adler 2008; R Core Team 2019). These algorithms loop through the annual maps for a given quadrat, and assume that individuals of the same species growing in the same location in consecutive years are the same individual. In this way, the algorithms generate records of survival for all individuals, and records of growth or shrinkage for individuals measured as polygons. Individual plants can go dormant for up to several years, such that no above-ground material is visible. These tracking scripts allow for a user-defined period of dormancy, which we set to the conservative limit of one year. This means that if an individual is present in year 1, absent from the maps in year 2, but present in year 3 at the same coordinates as year 1, this plant is considered to be the same individual. Allowing a longer dormancy period would likely lead to an over-estimate of survival, since new recruits in the same neighborhood as a con-specific individual in previous years would be more likely to be erroneously counted as that individual emerging from dormancy. We also allow a ’buffer’ of 5 cm in observations of the same individual from year to year, which accounts for measurement error as well as true variation in re-sprouting location across years. The dataset of forb survival from 1997-2010 is dominated by </w:t>
      </w:r>
      <w:r w:rsidRPr="000118F9">
        <w:rPr>
          <w:rFonts w:cs="Calibri"/>
          <w:i/>
          <w:color w:val="000000" w:themeColor="text1"/>
        </w:rPr>
        <w:t>Sphaeralcea coccinea</w:t>
      </w:r>
      <w:r w:rsidRPr="000118F9">
        <w:rPr>
          <w:rFonts w:cs="Calibri"/>
          <w:color w:val="000000" w:themeColor="text1"/>
        </w:rPr>
        <w:t xml:space="preserve">, which accounts for  78% of the observations. To prevent </w:t>
      </w:r>
      <w:r w:rsidRPr="000118F9">
        <w:rPr>
          <w:rFonts w:cs="Calibri"/>
          <w:i/>
          <w:color w:val="000000" w:themeColor="text1"/>
        </w:rPr>
        <w:t>S. coccinea</w:t>
      </w:r>
      <w:r w:rsidRPr="000118F9">
        <w:rPr>
          <w:rFonts w:cs="Calibri"/>
          <w:color w:val="000000" w:themeColor="text1"/>
        </w:rPr>
        <w:t xml:space="preserve"> from skewing the results of the forb survival model, we randomly selected 5 individuals from each quadrat, and followed those individuals across the span of data collection. This reduces the size of the dataset, but makes the dataset more evenly distributed.</w:t>
      </w:r>
    </w:p>
    <w:p w14:paraId="1784CE53" w14:textId="77777777" w:rsidR="002639F7" w:rsidRPr="000118F9" w:rsidRDefault="00B04E25" w:rsidP="000118F9">
      <w:pPr>
        <w:pStyle w:val="Heading2"/>
        <w:spacing w:line="480" w:lineRule="auto"/>
        <w:rPr>
          <w:rFonts w:asciiTheme="minorHAnsi" w:hAnsiTheme="minorHAnsi" w:cs="Calibri"/>
          <w:color w:val="000000" w:themeColor="text1"/>
          <w:sz w:val="24"/>
          <w:szCs w:val="24"/>
        </w:rPr>
      </w:pPr>
      <w:bookmarkStart w:id="4" w:name="climate-data"/>
      <w:bookmarkEnd w:id="3"/>
      <w:r w:rsidRPr="000118F9">
        <w:rPr>
          <w:rFonts w:asciiTheme="minorHAnsi" w:hAnsiTheme="minorHAnsi" w:cs="Calibri"/>
          <w:i/>
          <w:color w:val="000000" w:themeColor="text1"/>
          <w:sz w:val="24"/>
          <w:szCs w:val="24"/>
        </w:rPr>
        <w:lastRenderedPageBreak/>
        <w:t>Climate Data</w:t>
      </w:r>
    </w:p>
    <w:p w14:paraId="5CEC0DC8" w14:textId="77777777" w:rsidR="002639F7" w:rsidRPr="000118F9" w:rsidRDefault="00B04E25" w:rsidP="000118F9">
      <w:pPr>
        <w:pStyle w:val="FirstParagraph"/>
        <w:spacing w:line="480" w:lineRule="auto"/>
        <w:rPr>
          <w:rFonts w:cs="Calibri"/>
          <w:color w:val="000000" w:themeColor="text1"/>
        </w:rPr>
      </w:pPr>
      <w:r w:rsidRPr="000118F9">
        <w:rPr>
          <w:rFonts w:cs="Calibri"/>
          <w:color w:val="000000" w:themeColor="text1"/>
        </w:rPr>
        <w:t xml:space="preserve">The standardized precipitation-evapotranspiration index (SPEI) is a metric of drought intensity that uses temperature and precipitation data to estimate evapotranspiration (Vicente-Serrano et al. 2010). To calculate SPEI for this analysis we used climate data from the Global SPEI database, which calculates SPEI using modeled climate data at a 55 </w:t>
      </w:r>
      <m:oMath>
        <m:r>
          <w:rPr>
            <w:rFonts w:ascii="Cambria Math" w:hAnsi="Cambria Math" w:cs="Calibri"/>
            <w:color w:val="000000" w:themeColor="text1"/>
          </w:rPr>
          <m:t>k</m:t>
        </m:r>
        <m:sSup>
          <m:sSupPr>
            <m:ctrlPr>
              <w:rPr>
                <w:rFonts w:ascii="Cambria Math" w:hAnsi="Cambria Math" w:cs="Calibri"/>
                <w:color w:val="000000" w:themeColor="text1"/>
              </w:rPr>
            </m:ctrlPr>
          </m:sSupPr>
          <m:e>
            <m:r>
              <w:rPr>
                <w:rFonts w:ascii="Cambria Math" w:hAnsi="Cambria Math" w:cs="Calibri"/>
                <w:color w:val="000000" w:themeColor="text1"/>
              </w:rPr>
              <m:t>m</m:t>
            </m:r>
          </m:e>
          <m:sup>
            <m:r>
              <w:rPr>
                <w:rFonts w:ascii="Cambria Math" w:hAnsi="Cambria Math" w:cs="Calibri"/>
                <w:color w:val="000000" w:themeColor="text1"/>
              </w:rPr>
              <m:t>2</m:t>
            </m:r>
          </m:sup>
        </m:sSup>
      </m:oMath>
      <w:r w:rsidRPr="000118F9">
        <w:rPr>
          <w:rFonts w:cs="Calibri"/>
          <w:color w:val="000000" w:themeColor="text1"/>
        </w:rPr>
        <w:t xml:space="preserve"> resolution (Vicente-Serrano et al. 2010). We chose to use modeled climate data, as opposed to calculating SPEI by hand using observed climate data from the CPER site, since modeled data includes the data necessary to use the Penman-Monteith method of calculating potential evapotranspiration (PET). Only precipitation and temperature is available from the observed climate dataset, meaning it is only possible to calculate far inferior estimates of PET with this dataset. SPEI can be calculated over an interval as short as one month, or as long as 48 months. In this study, we used a 4-month interval from May to June, which encapsulates the growing season for most species in the shortgrass steppe.</w:t>
      </w:r>
    </w:p>
    <w:p w14:paraId="66D9A45F" w14:textId="77777777" w:rsidR="002639F7" w:rsidRPr="000118F9" w:rsidRDefault="00B04E25" w:rsidP="000118F9">
      <w:pPr>
        <w:pStyle w:val="Heading2"/>
        <w:spacing w:line="480" w:lineRule="auto"/>
        <w:rPr>
          <w:rFonts w:asciiTheme="minorHAnsi" w:hAnsiTheme="minorHAnsi" w:cs="Calibri"/>
          <w:color w:val="000000" w:themeColor="text1"/>
          <w:sz w:val="24"/>
          <w:szCs w:val="24"/>
        </w:rPr>
      </w:pPr>
      <w:bookmarkStart w:id="5" w:name="trait-data"/>
      <w:bookmarkEnd w:id="4"/>
      <w:r w:rsidRPr="000118F9">
        <w:rPr>
          <w:rFonts w:asciiTheme="minorHAnsi" w:hAnsiTheme="minorHAnsi" w:cs="Calibri"/>
          <w:i/>
          <w:color w:val="000000" w:themeColor="text1"/>
          <w:sz w:val="24"/>
          <w:szCs w:val="24"/>
        </w:rPr>
        <w:t>Trait Data</w:t>
      </w:r>
    </w:p>
    <w:p w14:paraId="4683ADDF" w14:textId="4998A65E" w:rsidR="002639F7" w:rsidRPr="000118F9" w:rsidRDefault="00B04E25" w:rsidP="000118F9">
      <w:pPr>
        <w:pStyle w:val="FirstParagraph"/>
        <w:spacing w:line="480" w:lineRule="auto"/>
        <w:rPr>
          <w:rFonts w:cs="Calibri"/>
          <w:color w:val="000000" w:themeColor="text1"/>
        </w:rPr>
      </w:pPr>
      <w:r w:rsidRPr="000118F9">
        <w:rPr>
          <w:rFonts w:cs="Calibri"/>
          <w:color w:val="000000" w:themeColor="text1"/>
        </w:rPr>
        <w:t xml:space="preserve">We measured leaf and root functional traits for the graminoid, shrub, and forb species that comprise most of the diversity in the demographic dataset. Five to ten mature and healthy individuals of each target species were sampled for each trait measurement. A majority of the trait values used in this analysis were collected at the USDA-ARS CPER. Traits for everal other species were measured at the USDA-ARS High Plains Grasslands Research Station (HPGRS) near Cheyenne, WY, a northern mixed-grass prairie within 35 miles of the CPER. Samples for trait measurement were collected at CPER and HPGRS between 2014 and 2018 (Blumenthal et al. 2020). In cases where trait values measured at CPER were not available, </w:t>
      </w:r>
      <w:r w:rsidRPr="000118F9">
        <w:rPr>
          <w:rFonts w:cs="Calibri"/>
          <w:color w:val="000000" w:themeColor="text1"/>
        </w:rPr>
        <w:lastRenderedPageBreak/>
        <w:t xml:space="preserve">we used species-level trait values from samples at the University Pasture in Hays, KS (southern mixed-grass prairie), the USDA-ARS Ft. Keogh Livestock and Range Research Station in Miles City, MT (northern mixed-grass prairie), and the USDA-ARS US Sheep Experiment Station near Dubois, ID (sagebrush steppe). See Table S </w:t>
      </w:r>
      <w:hyperlink w:anchor="TraitMeasurements">
        <w:r w:rsidR="00C21B31">
          <w:rPr>
            <w:rStyle w:val="Hyperlink"/>
            <w:rFonts w:cs="Calibri"/>
            <w:color w:val="000000" w:themeColor="text1"/>
          </w:rPr>
          <w:t>1</w:t>
        </w:r>
      </w:hyperlink>
      <w:r w:rsidRPr="000118F9">
        <w:rPr>
          <w:rFonts w:cs="Calibri"/>
          <w:color w:val="000000" w:themeColor="text1"/>
        </w:rPr>
        <w:t xml:space="preserve"> for a list of sampling locations for each species included in this analysis.</w:t>
      </w:r>
    </w:p>
    <w:p w14:paraId="44B22A4A" w14:textId="77777777" w:rsidR="002639F7" w:rsidRPr="000118F9" w:rsidRDefault="00B04E25" w:rsidP="000118F9">
      <w:pPr>
        <w:pStyle w:val="BodyText"/>
        <w:spacing w:line="480" w:lineRule="auto"/>
        <w:rPr>
          <w:rFonts w:cs="Calibri"/>
          <w:color w:val="000000" w:themeColor="text1"/>
        </w:rPr>
      </w:pPr>
      <w:r w:rsidRPr="000118F9">
        <w:rPr>
          <w:rFonts w:cs="Calibri"/>
          <w:color w:val="000000" w:themeColor="text1"/>
        </w:rPr>
        <w:t>We measured species-level average trait values for seven traits: specific leaf area (SLA; cm</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2</m:t>
            </m:r>
          </m:sup>
        </m:sSup>
      </m:oMath>
      <w:r w:rsidRPr="000118F9">
        <w:rPr>
          <w:rFonts w:cs="Calibri"/>
          <w:color w:val="000000" w:themeColor="text1"/>
        </w:rPr>
        <w:t>/g), leaf dry matter content (LDMC; g/g), turgor loss point (TLP; MPa), specific root length (SRL; g/m), average root diameter (RDiam; mm), root dry matter content (RDMC; g/g), and root tissue density (RTD; g/cm</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3</m:t>
            </m:r>
          </m:sup>
        </m:sSup>
      </m:oMath>
      <w:r w:rsidRPr="000118F9">
        <w:rPr>
          <w:rFonts w:cs="Calibri"/>
          <w:color w:val="000000" w:themeColor="text1"/>
        </w:rPr>
        <w:t xml:space="preserve">). SLA and LDMC were measured using standard methods (Pérez-Harguindeguy et al. 2013). TLP was calculated from measurements of leaf osmotic potential made using a Vapro 5600 osmometer (Bartlett et al. 2012). TLP was derived from osmotic potential using the following equations: graminoid leaf turgor loss point </w:t>
      </w:r>
      <m:oMath>
        <m:r>
          <w:rPr>
            <w:rFonts w:ascii="Cambria Math" w:hAnsi="Cambria Math" w:cs="Calibri"/>
            <w:color w:val="000000" w:themeColor="text1"/>
          </w:rPr>
          <m:t>=0.944(</m:t>
        </m:r>
      </m:oMath>
      <w:r w:rsidRPr="000118F9">
        <w:rPr>
          <w:rFonts w:cs="Calibri"/>
          <w:color w:val="000000" w:themeColor="text1"/>
        </w:rPr>
        <w:t>leaf osmotic potential</w:t>
      </w:r>
      <m:oMath>
        <m:r>
          <w:rPr>
            <w:rFonts w:ascii="Cambria Math" w:hAnsi="Cambria Math" w:cs="Calibri"/>
            <w:color w:val="000000" w:themeColor="text1"/>
          </w:rPr>
          <m:t>)-0.611</m:t>
        </m:r>
      </m:oMath>
      <w:r w:rsidRPr="000118F9">
        <w:rPr>
          <w:rFonts w:cs="Calibri"/>
          <w:color w:val="000000" w:themeColor="text1"/>
        </w:rPr>
        <w:t xml:space="preserve"> , forb leaf turgor loss point </w:t>
      </w:r>
      <m:oMath>
        <m:r>
          <w:rPr>
            <w:rFonts w:ascii="Cambria Math" w:hAnsi="Cambria Math" w:cs="Calibri"/>
            <w:color w:val="000000" w:themeColor="text1"/>
          </w:rPr>
          <m:t>=0.80(</m:t>
        </m:r>
      </m:oMath>
      <w:r w:rsidRPr="000118F9">
        <w:rPr>
          <w:rFonts w:cs="Calibri"/>
          <w:color w:val="000000" w:themeColor="text1"/>
        </w:rPr>
        <w:t>leaf osmotic potential</w:t>
      </w:r>
      <m:oMath>
        <m:r>
          <w:rPr>
            <w:rFonts w:ascii="Cambria Math" w:hAnsi="Cambria Math" w:cs="Calibri"/>
            <w:color w:val="000000" w:themeColor="text1"/>
          </w:rPr>
          <m:t>)–0.845</m:t>
        </m:r>
      </m:oMath>
      <w:r w:rsidRPr="000118F9">
        <w:rPr>
          <w:rFonts w:cs="Calibri"/>
          <w:color w:val="000000" w:themeColor="text1"/>
        </w:rPr>
        <w:t>) (Griffin-Nolan et al. 2019). Below ground traits were measured for fine, absorptive root tissue (typically 1st-3rd order roots) (McCormack et al. 2015). Intact absorptive root branches were carefully extracted from soil monoliths, which were centered on the species of interest and sampled to 20 cm beneath the soil surface (Blumenthal et al., unpublished). Root length, average diameter, and root volume were measured using WinRhizo software (Regent Instruments, Inc., Ville de Québec, QC Canada). Further details of leaf trait sampling and measurement protocols can be found in (Blumenthal et al. 2020).</w:t>
      </w:r>
    </w:p>
    <w:p w14:paraId="020D3067" w14:textId="77777777" w:rsidR="002639F7" w:rsidRPr="000118F9" w:rsidRDefault="00B04E25" w:rsidP="000118F9">
      <w:pPr>
        <w:pStyle w:val="Heading2"/>
        <w:spacing w:line="480" w:lineRule="auto"/>
        <w:rPr>
          <w:rFonts w:asciiTheme="minorHAnsi" w:hAnsiTheme="minorHAnsi" w:cs="Calibri"/>
          <w:color w:val="000000" w:themeColor="text1"/>
          <w:sz w:val="24"/>
          <w:szCs w:val="24"/>
        </w:rPr>
      </w:pPr>
      <w:bookmarkStart w:id="6" w:name="statistical-analysis"/>
      <w:bookmarkEnd w:id="5"/>
      <w:r w:rsidRPr="000118F9">
        <w:rPr>
          <w:rFonts w:asciiTheme="minorHAnsi" w:hAnsiTheme="minorHAnsi" w:cs="Calibri"/>
          <w:i/>
          <w:color w:val="000000" w:themeColor="text1"/>
          <w:sz w:val="24"/>
          <w:szCs w:val="24"/>
        </w:rPr>
        <w:lastRenderedPageBreak/>
        <w:t>Statistical Analysis</w:t>
      </w:r>
    </w:p>
    <w:p w14:paraId="4B242285" w14:textId="268A8B32" w:rsidR="002639F7" w:rsidRDefault="00B04E25" w:rsidP="00D37561">
      <w:pPr>
        <w:pStyle w:val="FirstParagraph"/>
        <w:spacing w:line="480" w:lineRule="auto"/>
        <w:rPr>
          <w:rFonts w:cs="Calibri"/>
          <w:color w:val="000000" w:themeColor="text1"/>
        </w:rPr>
      </w:pPr>
      <w:r w:rsidRPr="000118F9">
        <w:rPr>
          <w:rFonts w:cs="Calibri"/>
          <w:color w:val="000000" w:themeColor="text1"/>
        </w:rPr>
        <w:t xml:space="preserve">We use a generalized linear mixed model (GLMM) framework to identify how the effect of trait values on growth and survival varies across a spectrum of drought intensity, as well as to assess the relative ability of each trait to predict survival. We used the lmer package in R to fit GLMMs with a binomial error distribution and a logit link function, as well as random effects for species, quadrat, year, and plant size, to quantify the interactive effects of climate and trait values on survival (Eqn. </w:t>
      </w:r>
      <w:hyperlink w:anchor="surv_eq">
        <w:r>
          <w:rPr>
            <w:rStyle w:val="Hyperlink"/>
            <w:rFonts w:cs="Calibri"/>
            <w:color w:val="000000" w:themeColor="text1"/>
          </w:rPr>
          <w:t>1</w:t>
        </w:r>
      </w:hyperlink>
      <w:r w:rsidRPr="000118F9">
        <w:rPr>
          <w:rFonts w:cs="Calibri"/>
          <w:color w:val="000000" w:themeColor="text1"/>
        </w:rPr>
        <w:t>) (R Core Team 2019; Bates et al. 2015). To model growth, we used the lmer4 R package to fit linear mixed models using a gaussian error distribution. Growth models had an identical fixed and random effect structure to survival models. All variables were scaled, and size</w:t>
      </w:r>
      <m:oMath>
        <m:sSub>
          <m:sSubPr>
            <m:ctrlPr>
              <w:rPr>
                <w:rFonts w:ascii="Cambria Math" w:hAnsi="Cambria Math" w:cs="Calibri"/>
                <w:color w:val="000000" w:themeColor="text1"/>
              </w:rPr>
            </m:ctrlPr>
          </m:sSubPr>
          <m:e>
            <m:r>
              <w:rPr>
                <w:rFonts w:ascii="Cambria Math" w:hAnsi="Cambria Math" w:cs="Calibri"/>
                <w:color w:val="000000" w:themeColor="text1"/>
              </w:rPr>
              <m:t>​</m:t>
            </m:r>
          </m:e>
          <m:sub>
            <m:r>
              <m:rPr>
                <m:nor/>
              </m:rPr>
              <w:rPr>
                <w:rFonts w:cs="Calibri"/>
                <w:color w:val="000000" w:themeColor="text1"/>
              </w:rPr>
              <m:t>t</m:t>
            </m:r>
          </m:sub>
        </m:sSub>
      </m:oMath>
      <w:r w:rsidRPr="000118F9">
        <w:rPr>
          <w:rFonts w:cs="Calibri"/>
          <w:color w:val="000000" w:themeColor="text1"/>
        </w:rPr>
        <w:t xml:space="preserve"> and size</w:t>
      </w:r>
      <m:oMath>
        <m:sSub>
          <m:sSubPr>
            <m:ctrlPr>
              <w:rPr>
                <w:rFonts w:ascii="Cambria Math" w:hAnsi="Cambria Math" w:cs="Calibri"/>
                <w:color w:val="000000" w:themeColor="text1"/>
              </w:rPr>
            </m:ctrlPr>
          </m:sSubPr>
          <m:e>
            <m:r>
              <w:rPr>
                <w:rFonts w:ascii="Cambria Math" w:hAnsi="Cambria Math" w:cs="Calibri"/>
                <w:color w:val="000000" w:themeColor="text1"/>
              </w:rPr>
              <m:t>​</m:t>
            </m:r>
          </m:e>
          <m:sub>
            <m:r>
              <m:rPr>
                <m:nor/>
              </m:rPr>
              <w:rPr>
                <w:rFonts w:cs="Calibri"/>
                <w:color w:val="000000" w:themeColor="text1"/>
              </w:rPr>
              <m:t>t+1</m:t>
            </m:r>
          </m:sub>
        </m:sSub>
      </m:oMath>
      <w:r w:rsidRPr="000118F9">
        <w:rPr>
          <w:rFonts w:cs="Calibri"/>
          <w:color w:val="000000" w:themeColor="text1"/>
        </w:rPr>
        <w:t xml:space="preserve"> were log-transformed and then scaled. Individual size is an important covariate in these models, but is only available for graminoids because forbs were mapped as points in this dataset. Because of this, we modeled graminoid and forb survival separately, and forb models do not contain a size covariate or a random slope for size. Growth models were only constructed for graminoids, since we do not have growth information for forbs. The global model structure for growth and survival of graminoids and forbs followed this general form:</w:t>
      </w:r>
    </w:p>
    <w:p w14:paraId="470F07D5" w14:textId="18252EC4" w:rsidR="00D37561" w:rsidRPr="00D37561" w:rsidRDefault="00D37561" w:rsidP="00D37561">
      <w:pPr>
        <w:pStyle w:val="BodyText"/>
      </w:pPr>
      <w:r w:rsidRPr="00D37561">
        <w:rPr>
          <w:b/>
          <w:bCs/>
        </w:rPr>
        <w:t>Equation 1</w:t>
      </w:r>
    </w:p>
    <w:p w14:paraId="00C16319" w14:textId="0EEA5242" w:rsidR="00D37561" w:rsidRPr="00F22F65" w:rsidRDefault="00D37561" w:rsidP="000118F9">
      <w:pPr>
        <w:pStyle w:val="BodyText"/>
        <w:spacing w:line="480" w:lineRule="auto"/>
        <w:rPr>
          <w:rFonts w:cs="Calibri"/>
          <w:color w:val="000000" w:themeColor="text1"/>
        </w:rPr>
      </w:pPr>
      <m:oMath>
        <m:m>
          <m:mPr>
            <m:plcHide m:val="1"/>
            <m:mcs>
              <m:mc>
                <m:mcPr>
                  <m:count m:val="1"/>
                  <m:mcJc m:val="center"/>
                </m:mcPr>
              </m:mc>
            </m:mcs>
            <m:ctrlPr>
              <w:rPr>
                <w:rFonts w:ascii="Cambria Math" w:hAnsi="Cambria Math"/>
                <w:color w:val="000000" w:themeColor="text1"/>
              </w:rPr>
            </m:ctrlPr>
          </m:mPr>
          <m:mr>
            <m:e>
              <m:r>
                <w:rPr>
                  <w:rFonts w:ascii="Cambria Math" w:hAnsi="Cambria Math"/>
                  <w:color w:val="000000" w:themeColor="text1"/>
                </w:rPr>
                <m:t>logit</m:t>
              </m:r>
              <m:d>
                <m:dPr>
                  <m:ctrlPr>
                    <w:rPr>
                      <w:rFonts w:ascii="Cambria Math" w:hAnsi="Cambria Math"/>
                      <w:i/>
                      <w:color w:val="000000" w:themeColor="text1"/>
                    </w:rPr>
                  </m:ctrlPr>
                </m:dPr>
                <m:e>
                  <m:r>
                    <w:rPr>
                      <w:rFonts w:ascii="Cambria Math" w:hAnsi="Cambria Math"/>
                      <w:color w:val="000000" w:themeColor="text1"/>
                    </w:rPr>
                    <m:t>surviva</m:t>
                  </m:r>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t+1</m:t>
                      </m:r>
                    </m:sub>
                  </m:sSub>
                </m:e>
              </m:d>
              <m:r>
                <m:rPr>
                  <m:sty m:val="bi"/>
                </m:rPr>
                <w:rPr>
                  <w:rFonts w:ascii="Cambria Math" w:hAnsi="Cambria Math"/>
                  <w:color w:val="000000" w:themeColor="text1"/>
                </w:rPr>
                <m:t xml:space="preserve"> </m:t>
              </m:r>
              <m:r>
                <m:rPr>
                  <m:sty m:val="b"/>
                </m:rPr>
                <w:rPr>
                  <w:rFonts w:ascii="Cambria Math" w:hAnsi="Cambria Math"/>
                  <w:color w:val="000000" w:themeColor="text1"/>
                </w:rPr>
                <m:t>OR</m:t>
              </m:r>
              <m:func>
                <m:funcPr>
                  <m:ctrlPr>
                    <w:rPr>
                      <w:rFonts w:ascii="Cambria Math" w:hAnsi="Cambria Math"/>
                      <w:color w:val="000000" w:themeColor="text1"/>
                    </w:rPr>
                  </m:ctrlPr>
                </m:funcPr>
                <m:fName>
                  <m:r>
                    <m:rPr>
                      <m:sty m:val="p"/>
                    </m:rPr>
                    <w:rPr>
                      <w:rFonts w:ascii="Cambria Math" w:hAnsi="Cambria Math"/>
                      <w:color w:val="000000" w:themeColor="text1"/>
                    </w:rPr>
                    <m:t xml:space="preserve"> </m:t>
                  </m:r>
                  <m:r>
                    <m:rPr>
                      <m:sty m:val="p"/>
                    </m:rPr>
                    <w:rPr>
                      <w:rFonts w:ascii="Cambria Math" w:hAnsi="Cambria Math"/>
                      <w:color w:val="000000" w:themeColor="text1"/>
                    </w:rPr>
                    <m:t>ln</m:t>
                  </m:r>
                  <m:ctrlPr>
                    <w:rPr>
                      <w:rFonts w:ascii="Cambria Math" w:hAnsi="Cambria Math"/>
                      <w:iCs/>
                      <w:color w:val="000000" w:themeColor="text1"/>
                    </w:rPr>
                  </m:ctrlPr>
                </m:fName>
                <m:e>
                  <m:d>
                    <m:dPr>
                      <m:ctrlPr>
                        <w:rPr>
                          <w:rFonts w:ascii="Cambria Math" w:hAnsi="Cambria Math"/>
                          <w:i/>
                          <w:color w:val="000000" w:themeColor="text1"/>
                        </w:rPr>
                      </m:ctrlPr>
                    </m:dPr>
                    <m:e>
                      <m:r>
                        <w:rPr>
                          <w:rFonts w:ascii="Cambria Math" w:hAnsi="Cambria Math"/>
                          <w:color w:val="000000" w:themeColor="text1"/>
                        </w:rPr>
                        <m:t>siz</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e>
                  </m:d>
                </m:e>
              </m:func>
              <m:r>
                <w:rPr>
                  <w:rFonts w:ascii="Cambria Math" w:hAnsi="Cambria Math"/>
                  <w:color w:val="000000" w:themeColor="text1"/>
                </w:rPr>
                <m:t>∼α+</m:t>
              </m:r>
              <m:sSub>
                <m:sSubPr>
                  <m:ctrlPr>
                    <w:rPr>
                      <w:rFonts w:ascii="Cambria Math" w:hAnsi="Cambria Math"/>
                      <w:color w:val="000000" w:themeColor="text1"/>
                    </w:rPr>
                  </m:ctrlPr>
                </m:sSubPr>
                <m:e>
                  <m:r>
                    <w:rPr>
                      <w:rFonts w:ascii="Cambria Math" w:hAnsi="Cambria Math"/>
                      <w:color w:val="000000" w:themeColor="text1"/>
                    </w:rPr>
                    <m:t>γ</m:t>
                  </m:r>
                </m:e>
                <m:sub>
                  <m:r>
                    <w:rPr>
                      <w:rFonts w:ascii="Cambria Math" w:hAnsi="Cambria Math"/>
                      <w:color w:val="000000" w:themeColor="text1"/>
                    </w:rPr>
                    <m:t>species</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δ</m:t>
                  </m:r>
                </m:e>
                <m:sub>
                  <m:r>
                    <w:rPr>
                      <w:rFonts w:ascii="Cambria Math" w:hAnsi="Cambria Math"/>
                      <w:color w:val="000000" w:themeColor="text1"/>
                    </w:rPr>
                    <m:t>quad</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τ</m:t>
                  </m:r>
                </m:e>
                <m:sub>
                  <m:r>
                    <w:rPr>
                      <w:rFonts w:ascii="Cambria Math" w:hAnsi="Cambria Math"/>
                      <w:color w:val="000000" w:themeColor="text1"/>
                    </w:rPr>
                    <m:t>year</m:t>
                  </m:r>
                </m:sub>
              </m:sSub>
              <m:r>
                <w:rPr>
                  <w:rFonts w:ascii="Cambria Math" w:hAnsi="Cambria Math"/>
                  <w:color w:val="000000" w:themeColor="text1"/>
                </w:rPr>
                <m:t>+siz</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t</m:t>
                  </m:r>
                </m:sub>
              </m:sSub>
              <m:d>
                <m:dPr>
                  <m:ctrlPr>
                    <w:rPr>
                      <w:rFonts w:ascii="Cambria Math" w:hAnsi="Cambria Math"/>
                      <w:i/>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species</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e>
              </m:d>
              <m:r>
                <w:rPr>
                  <w:rFonts w:ascii="Cambria Math" w:hAnsi="Cambria Math"/>
                  <w:color w:val="000000" w:themeColor="text1"/>
                </w:rPr>
                <m:t>+</m:t>
              </m:r>
            </m:e>
          </m:mr>
          <m:mr>
            <m:e>
              <m:r>
                <w:rPr>
                  <w:rFonts w:ascii="Cambria Math" w:hAnsi="Cambria Math"/>
                  <w:color w:val="000000" w:themeColor="text1"/>
                </w:rPr>
                <m:t>trait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w:rPr>
                  <w:rFonts w:ascii="Cambria Math" w:hAnsi="Cambria Math"/>
                  <w:color w:val="000000" w:themeColor="text1"/>
                </w:rPr>
                <m:t xml:space="preserve">+ </m:t>
              </m:r>
              <m:r>
                <w:rPr>
                  <w:rFonts w:ascii="Cambria Math" w:hAnsi="Cambria Math"/>
                  <w:color w:val="000000" w:themeColor="text1"/>
                </w:rPr>
                <m:t>SPEI</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w:rPr>
                  <w:rFonts w:ascii="Cambria Math" w:hAnsi="Cambria Math"/>
                  <w:color w:val="000000" w:themeColor="text1"/>
                </w:rPr>
                <m:t xml:space="preserve"> </m:t>
              </m:r>
              <m:r>
                <w:rPr>
                  <w:rFonts w:ascii="Cambria Math" w:hAnsi="Cambria Math"/>
                  <w:color w:val="000000" w:themeColor="text1"/>
                </w:rPr>
                <m:t>+nearEdge</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w:rPr>
                  <w:rFonts w:ascii="Cambria Math" w:hAnsi="Cambria Math"/>
                  <w:color w:val="000000" w:themeColor="text1"/>
                </w:rPr>
                <m:t>+neighborhoodDensity</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w:rPr>
                  <w:rFonts w:ascii="Cambria Math" w:hAnsi="Cambria Math"/>
                  <w:color w:val="000000" w:themeColor="text1"/>
                </w:rPr>
                <m:t>+trait×SPEI</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e>
          </m:mr>
        </m:m>
      </m:oMath>
      <w:r w:rsidRPr="00F22F65">
        <w:rPr>
          <w:rFonts w:cs="Calibri"/>
          <w:color w:val="000000" w:themeColor="text1"/>
        </w:rPr>
        <w:t xml:space="preserve"> </w:t>
      </w:r>
    </w:p>
    <w:p w14:paraId="444D21EE" w14:textId="6580AF84" w:rsidR="002639F7" w:rsidRPr="000118F9" w:rsidRDefault="00B04E25" w:rsidP="000118F9">
      <w:pPr>
        <w:pStyle w:val="FirstParagraph"/>
        <w:spacing w:line="480" w:lineRule="auto"/>
        <w:rPr>
          <w:rFonts w:cs="Calibri"/>
          <w:color w:val="000000" w:themeColor="text1"/>
        </w:rPr>
      </w:pPr>
      <w:r w:rsidRPr="000118F9">
        <w:rPr>
          <w:rFonts w:cs="Calibri"/>
          <w:color w:val="000000" w:themeColor="text1"/>
        </w:rPr>
        <w:t xml:space="preserve">Survival models use a binary response variable indicating whether an individual survived (1) or died (0) in year </w:t>
      </w:r>
      <w:r w:rsidRPr="000118F9">
        <w:rPr>
          <w:rFonts w:cs="Calibri"/>
          <w:i/>
          <w:color w:val="000000" w:themeColor="text1"/>
        </w:rPr>
        <w:t>t+1</w:t>
      </w:r>
      <w:r w:rsidRPr="000118F9">
        <w:rPr>
          <w:rFonts w:cs="Calibri"/>
          <w:color w:val="000000" w:themeColor="text1"/>
        </w:rPr>
        <w:t>. The response variable for growth models is the natural logarithm of size</w:t>
      </w:r>
      <m:oMath>
        <m:sSub>
          <m:sSubPr>
            <m:ctrlPr>
              <w:rPr>
                <w:rFonts w:ascii="Cambria Math" w:hAnsi="Cambria Math" w:cs="Calibri"/>
                <w:color w:val="000000" w:themeColor="text1"/>
              </w:rPr>
            </m:ctrlPr>
          </m:sSubPr>
          <m:e>
            <m:r>
              <w:rPr>
                <w:rFonts w:ascii="Cambria Math" w:hAnsi="Cambria Math" w:cs="Calibri"/>
                <w:color w:val="000000" w:themeColor="text1"/>
              </w:rPr>
              <m:t>​</m:t>
            </m:r>
          </m:e>
          <m:sub>
            <m:r>
              <m:rPr>
                <m:nor/>
              </m:rPr>
              <w:rPr>
                <w:rFonts w:cs="Calibri"/>
                <w:color w:val="000000" w:themeColor="text1"/>
              </w:rPr>
              <m:t>t+1</m:t>
            </m:r>
          </m:sub>
        </m:sSub>
      </m:oMath>
      <w:r w:rsidRPr="000118F9">
        <w:rPr>
          <w:rFonts w:cs="Calibri"/>
          <w:color w:val="000000" w:themeColor="text1"/>
        </w:rPr>
        <w:t xml:space="preserve"> and year (Dalgleish et al. 2011; Dahlgren and Ehrlén 2009). In both model frameworks, the fixed effects of interest are SPEI, trait, and the SPEI-by-trait </w:t>
      </w:r>
      <w:r w:rsidRPr="000118F9">
        <w:rPr>
          <w:rFonts w:cs="Calibri"/>
          <w:color w:val="000000" w:themeColor="text1"/>
        </w:rPr>
        <w:lastRenderedPageBreak/>
        <w:t xml:space="preserve">interaction. We created separate growth and survival models for each trait, since we are interested in the relative ability of each trait to predict drought tolerance along a gradient of SPEI. To account for the effects of individual plant size (Tredennick et al. 2018) and competition on demographic rates (Fig. </w:t>
      </w:r>
      <w:hyperlink w:anchor="fig:ConceptFig">
        <w:r w:rsidRPr="000118F9">
          <w:rPr>
            <w:rStyle w:val="Hyperlink"/>
            <w:rFonts w:cs="Calibri"/>
            <w:color w:val="000000" w:themeColor="text1"/>
          </w:rPr>
          <w:t>1</w:t>
        </w:r>
      </w:hyperlink>
      <w:r w:rsidRPr="000118F9">
        <w:rPr>
          <w:rFonts w:cs="Calibri"/>
          <w:color w:val="000000" w:themeColor="text1"/>
        </w:rPr>
        <w:t xml:space="preserve">), we included individual plant basal area (when available) and conspecific local neighborhood density as fixed effect covariates in our survival models (Equation </w:t>
      </w:r>
      <w:hyperlink w:anchor="surv_eq">
        <w:r>
          <w:rPr>
            <w:rStyle w:val="Hyperlink"/>
            <w:rFonts w:cs="Calibri"/>
            <w:color w:val="000000" w:themeColor="text1"/>
          </w:rPr>
          <w:t>1</w:t>
        </w:r>
      </w:hyperlink>
      <w:r w:rsidRPr="000118F9">
        <w:rPr>
          <w:rFonts w:cs="Calibri"/>
          <w:color w:val="000000" w:themeColor="text1"/>
        </w:rPr>
        <w:t>).</w:t>
      </w:r>
    </w:p>
    <w:p w14:paraId="5E1B8A97" w14:textId="387467BB" w:rsidR="002639F7" w:rsidRPr="000118F9" w:rsidRDefault="00B04E25" w:rsidP="000118F9">
      <w:pPr>
        <w:pStyle w:val="BodyText"/>
        <w:spacing w:line="480" w:lineRule="auto"/>
        <w:rPr>
          <w:rFonts w:cs="Calibri"/>
          <w:color w:val="000000" w:themeColor="text1"/>
        </w:rPr>
      </w:pPr>
      <w:r w:rsidRPr="000118F9">
        <w:rPr>
          <w:rFonts w:cs="Calibri"/>
          <w:color w:val="000000" w:themeColor="text1"/>
        </w:rPr>
        <w:t xml:space="preserve">Local neighborhood density was calculated for each individual observation, and accounts for the effect of intra-specific competition or facilitation on demographic rates. For graminoids, the local neighborhood density is the total plant basal area within a 10 cm radius of the focal individual that is occupied by individuals of the same species (conspecifics). For forbs, this value is a sum of the total number of conspecific stems within a 10 cm local neighborhood radius of the focal individual. We calculated only intra-specific competition estimates, because the fact that forbs and graminoids were measured differently (forbs as a single point, graminoids as a polygon) made it difficult to produce a reasonable estimate of inter-specific competition. Additionally, it has been shown that inter-specific competition is typically weaker than intra-specific competition in dry grassland systems (Adler et al. 2018; Laughlin et al. 2018). We tested different neighborhood radii (5, 10, 15, and 20 cm) to determine which radius is the most appropriate to use in this ecological context by fitting four generalized linear mixed-effect models for the effect of a trait-by-environment interaction on survival (following the framework of Equation </w:t>
      </w:r>
      <w:hyperlink w:anchor="surv_eq">
        <w:r>
          <w:rPr>
            <w:rStyle w:val="Hyperlink"/>
            <w:rFonts w:cs="Calibri"/>
            <w:color w:val="000000" w:themeColor="text1"/>
          </w:rPr>
          <w:t>1</w:t>
        </w:r>
      </w:hyperlink>
      <w:r w:rsidRPr="000118F9">
        <w:rPr>
          <w:rFonts w:cs="Calibri"/>
          <w:color w:val="000000" w:themeColor="text1"/>
        </w:rPr>
        <w:t xml:space="preserve">) while including a competition metric using a different radius in each model. We compared the size of the coefficient for the fixed effect of competition in each model, as well as the maximum likelihood of each model. The maximum likelihood </w:t>
      </w:r>
      <w:r w:rsidRPr="000118F9">
        <w:rPr>
          <w:rFonts w:cs="Calibri"/>
          <w:color w:val="000000" w:themeColor="text1"/>
        </w:rPr>
        <w:lastRenderedPageBreak/>
        <w:t>indicated that both the 5 and 10 cm radii provided the best model fit We used a 10 cm local neighborhood radius, since the coefficient from that model was the largest. We also included a fixed effect, "nearEdge," which is a binary variable indicating whether an individual was growing within 5 cm of the quadrat edge. This covariate accounts for the higher probability of ’missing’ an edge individual during mapping, as well as potential under-estimation of local neighborhood density or individual size due to proximity to the quadrat edge.</w:t>
      </w:r>
    </w:p>
    <w:p w14:paraId="61A0A89B" w14:textId="77777777" w:rsidR="002639F7" w:rsidRPr="000118F9" w:rsidRDefault="00B04E25" w:rsidP="000118F9">
      <w:pPr>
        <w:pStyle w:val="BodyText"/>
        <w:spacing w:line="480" w:lineRule="auto"/>
        <w:rPr>
          <w:rFonts w:cs="Calibri"/>
          <w:color w:val="000000" w:themeColor="text1"/>
        </w:rPr>
      </w:pPr>
      <w:r w:rsidRPr="000118F9">
        <w:rPr>
          <w:rFonts w:cs="Calibri"/>
          <w:color w:val="000000" w:themeColor="text1"/>
        </w:rPr>
        <w:t>All models included a random intercept for quadrat ("(1|quad)") to account for spatial autocorrelation, and a random intercept for year ("(1|year)") to account for temporal autocorrelation. Because data on individual size was available for graminoids, we included a random slope for size associated with a random intercept for species ("(size</w:t>
      </w:r>
      <m:oMath>
        <m:sSub>
          <m:sSubPr>
            <m:ctrlPr>
              <w:rPr>
                <w:rFonts w:ascii="Cambria Math" w:hAnsi="Cambria Math" w:cs="Calibri"/>
                <w:color w:val="000000" w:themeColor="text1"/>
              </w:rPr>
            </m:ctrlPr>
          </m:sSubPr>
          <m:e>
            <m:r>
              <w:rPr>
                <w:rFonts w:ascii="Cambria Math" w:hAnsi="Cambria Math" w:cs="Calibri"/>
                <w:color w:val="000000" w:themeColor="text1"/>
              </w:rPr>
              <m:t>​</m:t>
            </m:r>
          </m:e>
          <m:sub>
            <m:r>
              <m:rPr>
                <m:nor/>
              </m:rPr>
              <w:rPr>
                <w:rFonts w:cs="Calibri"/>
                <w:color w:val="000000" w:themeColor="text1"/>
              </w:rPr>
              <m:t>t</m:t>
            </m:r>
          </m:sub>
        </m:sSub>
      </m:oMath>
      <w:r w:rsidRPr="000118F9">
        <w:rPr>
          <w:rFonts w:cs="Calibri"/>
          <w:color w:val="000000" w:themeColor="text1"/>
        </w:rPr>
        <w:t>|species)"), which accounts for the fact that larger individuals of a given species have a higher growth and survival probability than small individuals, but also allows for variation in response for each species. We did not include a random slope for size according to species for RTD and SRL survival models, since model fit was singular when this random slope was included (Bates et al. 2015). Because individual size data was not available for forbs, we did not include a random slope for size in the forb survival models, but still included a random intercept for species to account for variation in trait-by-SPEI relationships across species.</w:t>
      </w:r>
    </w:p>
    <w:p w14:paraId="6B7135C5" w14:textId="15CC945C" w:rsidR="002639F7" w:rsidRPr="000118F9" w:rsidRDefault="00B04E25" w:rsidP="000118F9">
      <w:pPr>
        <w:pStyle w:val="BodyText"/>
        <w:spacing w:line="480" w:lineRule="auto"/>
        <w:rPr>
          <w:rFonts w:cs="Calibri"/>
          <w:color w:val="000000" w:themeColor="text1"/>
        </w:rPr>
      </w:pPr>
      <w:r w:rsidRPr="000118F9">
        <w:rPr>
          <w:rFonts w:cs="Calibri"/>
          <w:color w:val="000000" w:themeColor="text1"/>
        </w:rPr>
        <w:t xml:space="preserve">We used AIC to determine the best random effect structure for each trait model by comparing the F-statistics of models with all possible random effect structures. We then used an analogous process to determine the best fixed effect structure (Bolker et al. 2009). We used the size and significance of the trait-by-SPEI interaction coefficient to rank traits </w:t>
      </w:r>
      <w:r w:rsidRPr="000118F9">
        <w:rPr>
          <w:rFonts w:cs="Calibri"/>
          <w:color w:val="000000" w:themeColor="text1"/>
        </w:rPr>
        <w:lastRenderedPageBreak/>
        <w:t xml:space="preserve">by their respective ability to predict drought tolerance. Because data for each trait was not available for all species, each model had a slightly different sample size, making it impossible to use AIC to compare fit across models. Instead, we used AIC to compare each model to a model of the same structure, but without the trait and trait-by-environment interaction coefficients (recorded as </w:t>
      </w:r>
      <m:oMath>
        <m:r>
          <w:rPr>
            <w:rFonts w:ascii="Cambria Math" w:hAnsi="Cambria Math" w:cs="Calibri"/>
            <w:color w:val="000000" w:themeColor="text1"/>
          </w:rPr>
          <m:t>Δ</m:t>
        </m:r>
      </m:oMath>
      <w:r w:rsidRPr="000118F9">
        <w:rPr>
          <w:rFonts w:cs="Calibri"/>
          <w:color w:val="000000" w:themeColor="text1"/>
        </w:rPr>
        <w:t xml:space="preserve"> AIC in Table </w:t>
      </w:r>
      <w:hyperlink w:anchor="ModResults">
        <w:r w:rsidR="00DD2CE4">
          <w:rPr>
            <w:rStyle w:val="Hyperlink"/>
            <w:rFonts w:cs="Calibri"/>
            <w:color w:val="000000" w:themeColor="text1"/>
          </w:rPr>
          <w:t>1</w:t>
        </w:r>
      </w:hyperlink>
      <w:r w:rsidRPr="000118F9">
        <w:rPr>
          <w:rFonts w:cs="Calibri"/>
          <w:color w:val="000000" w:themeColor="text1"/>
        </w:rPr>
        <w:t xml:space="preserve">). This comparison indicates the extent to which traits improve the models. The larger the decrease in AIC in the trait model relative to the no-trait model, the more support for the ability of that trait to predict survival or growth in response to drought. Positive </w:t>
      </w:r>
      <m:oMath>
        <m:r>
          <w:rPr>
            <w:rFonts w:ascii="Cambria Math" w:hAnsi="Cambria Math" w:cs="Calibri"/>
            <w:color w:val="000000" w:themeColor="text1"/>
          </w:rPr>
          <m:t>Δ</m:t>
        </m:r>
      </m:oMath>
      <w:r w:rsidRPr="000118F9">
        <w:rPr>
          <w:rFonts w:cs="Calibri"/>
          <w:color w:val="000000" w:themeColor="text1"/>
        </w:rPr>
        <w:t xml:space="preserve"> AIC values indicate that including a trait improved model fit, while negative </w:t>
      </w:r>
      <m:oMath>
        <m:r>
          <w:rPr>
            <w:rFonts w:ascii="Cambria Math" w:hAnsi="Cambria Math" w:cs="Calibri"/>
            <w:color w:val="000000" w:themeColor="text1"/>
          </w:rPr>
          <m:t>Δ</m:t>
        </m:r>
      </m:oMath>
      <w:r w:rsidRPr="000118F9">
        <w:rPr>
          <w:rFonts w:cs="Calibri"/>
          <w:color w:val="000000" w:themeColor="text1"/>
        </w:rPr>
        <w:t xml:space="preserve"> AIC values indicate that including a trait did not improve model fit.</w:t>
      </w:r>
    </w:p>
    <w:p w14:paraId="7128C33F" w14:textId="77777777" w:rsidR="002639F7" w:rsidRPr="000118F9" w:rsidRDefault="00B04E25" w:rsidP="000118F9">
      <w:pPr>
        <w:pStyle w:val="Heading1"/>
        <w:spacing w:line="480" w:lineRule="auto"/>
        <w:rPr>
          <w:rFonts w:asciiTheme="minorHAnsi" w:hAnsiTheme="minorHAnsi" w:cs="Calibri"/>
          <w:color w:val="000000" w:themeColor="text1"/>
          <w:sz w:val="24"/>
          <w:szCs w:val="24"/>
        </w:rPr>
      </w:pPr>
      <w:bookmarkStart w:id="7" w:name="results"/>
      <w:bookmarkEnd w:id="2"/>
      <w:bookmarkEnd w:id="6"/>
      <w:r w:rsidRPr="000118F9">
        <w:rPr>
          <w:rFonts w:asciiTheme="minorHAnsi" w:hAnsiTheme="minorHAnsi" w:cs="Calibri"/>
          <w:color w:val="000000" w:themeColor="text1"/>
          <w:sz w:val="24"/>
          <w:szCs w:val="24"/>
        </w:rPr>
        <w:t>Results</w:t>
      </w:r>
    </w:p>
    <w:p w14:paraId="43D72B51" w14:textId="77777777" w:rsidR="002639F7" w:rsidRPr="000118F9" w:rsidRDefault="00B04E25" w:rsidP="000118F9">
      <w:pPr>
        <w:pStyle w:val="Heading2"/>
        <w:spacing w:line="480" w:lineRule="auto"/>
        <w:rPr>
          <w:rFonts w:asciiTheme="minorHAnsi" w:hAnsiTheme="minorHAnsi" w:cs="Calibri"/>
          <w:color w:val="000000" w:themeColor="text1"/>
          <w:sz w:val="24"/>
          <w:szCs w:val="24"/>
        </w:rPr>
      </w:pPr>
      <w:bookmarkStart w:id="8" w:name="graminoid-survival"/>
      <w:r w:rsidRPr="000118F9">
        <w:rPr>
          <w:rFonts w:asciiTheme="minorHAnsi" w:hAnsiTheme="minorHAnsi" w:cs="Calibri"/>
          <w:i/>
          <w:color w:val="000000" w:themeColor="text1"/>
          <w:sz w:val="24"/>
          <w:szCs w:val="24"/>
        </w:rPr>
        <w:t>Graminoid Survival</w:t>
      </w:r>
    </w:p>
    <w:p w14:paraId="30A59DC4" w14:textId="1CD6E7CE" w:rsidR="002639F7" w:rsidRPr="000118F9" w:rsidRDefault="00B04E25" w:rsidP="00DD2CE4">
      <w:pPr>
        <w:pStyle w:val="FirstParagraph"/>
        <w:spacing w:line="480" w:lineRule="auto"/>
        <w:rPr>
          <w:rFonts w:cs="Calibri"/>
          <w:color w:val="000000" w:themeColor="text1"/>
        </w:rPr>
      </w:pPr>
      <w:r w:rsidRPr="000118F9">
        <w:rPr>
          <w:rFonts w:cs="Calibri"/>
          <w:color w:val="000000" w:themeColor="text1"/>
        </w:rPr>
        <w:t xml:space="preserve">We detected significant positive main effects of individual plant size and significant negative main effects of local neighborhood conspecific density on survival probability across all trait models (Table </w:t>
      </w:r>
      <w:hyperlink w:anchor="ModResults">
        <w:r w:rsidR="00DD2CE4">
          <w:rPr>
            <w:rStyle w:val="Hyperlink"/>
            <w:rFonts w:cs="Calibri"/>
            <w:color w:val="000000" w:themeColor="text1"/>
          </w:rPr>
          <w:t>1</w:t>
        </w:r>
      </w:hyperlink>
      <w:r w:rsidRPr="000118F9">
        <w:rPr>
          <w:rFonts w:cs="Calibri"/>
          <w:color w:val="000000" w:themeColor="text1"/>
        </w:rPr>
        <w:t xml:space="preserve">; Fig. </w:t>
      </w:r>
      <w:hyperlink w:anchor="fig:Effects_Survival">
        <w:r w:rsidRPr="000118F9">
          <w:rPr>
            <w:rStyle w:val="Hyperlink"/>
            <w:rFonts w:cs="Calibri"/>
            <w:color w:val="000000" w:themeColor="text1"/>
          </w:rPr>
          <w:t>2</w:t>
        </w:r>
      </w:hyperlink>
      <w:r w:rsidRPr="000118F9">
        <w:rPr>
          <w:rFonts w:cs="Calibri"/>
          <w:color w:val="000000" w:themeColor="text1"/>
        </w:rPr>
        <w:t xml:space="preserve">). In other words, larger plants were more likely to survive than smaller plants of the same species, and individuals that share their immediate local environment with more individuals of the same species were less likely to survive. There was a consistently negative main effect of SPEI on survival probability, although this effect was only significant in the model using RDiam. This negative coefficient suggests that plants had a higher survival probability when less water was available, which contradicts our predictions. However the effect sizes were small and mostly not significant. In most cases, except for the positive effect of RTD, the main effects of traits by themselves on </w:t>
      </w:r>
      <w:r w:rsidRPr="000118F9">
        <w:rPr>
          <w:rFonts w:cs="Calibri"/>
          <w:color w:val="000000" w:themeColor="text1"/>
        </w:rPr>
        <w:lastRenderedPageBreak/>
        <w:t xml:space="preserve">survival were not significant, and their effects were only manifested through interactions with SPEI. Variation in the modeled fixed and random effects explained between 33 and 67% of the variation in survival rates (Table </w:t>
      </w:r>
      <w:hyperlink w:anchor="ModResults">
        <w:r w:rsidR="00DD2CE4">
          <w:rPr>
            <w:rStyle w:val="Hyperlink"/>
            <w:rFonts w:cs="Calibri"/>
            <w:color w:val="000000" w:themeColor="text1"/>
          </w:rPr>
          <w:t>1</w:t>
        </w:r>
      </w:hyperlink>
      <w:r w:rsidRPr="000118F9">
        <w:rPr>
          <w:rFonts w:cs="Calibri"/>
          <w:color w:val="000000" w:themeColor="text1"/>
        </w:rPr>
        <w:t>).</w:t>
      </w:r>
    </w:p>
    <w:p w14:paraId="5CA22BC9" w14:textId="53C5689F" w:rsidR="002639F7" w:rsidRPr="000118F9" w:rsidRDefault="00B04E25" w:rsidP="00E159E2">
      <w:pPr>
        <w:pStyle w:val="BodyText"/>
        <w:spacing w:line="480" w:lineRule="auto"/>
        <w:ind w:firstLine="720"/>
        <w:rPr>
          <w:rFonts w:cs="Calibri"/>
          <w:color w:val="000000" w:themeColor="text1"/>
        </w:rPr>
      </w:pPr>
      <w:r w:rsidRPr="000118F9">
        <w:rPr>
          <w:rFonts w:cs="Calibri"/>
          <w:color w:val="000000" w:themeColor="text1"/>
        </w:rPr>
        <w:t xml:space="preserve">Models of survival for graminoids indicated that every trait except for SRL interacted with SPEI to impact survival (Table </w:t>
      </w:r>
      <w:hyperlink w:anchor="ModResults">
        <w:r w:rsidR="00DD2CE4">
          <w:rPr>
            <w:rStyle w:val="Hyperlink"/>
            <w:rFonts w:cs="Calibri"/>
            <w:color w:val="000000" w:themeColor="text1"/>
          </w:rPr>
          <w:t>1</w:t>
        </w:r>
      </w:hyperlink>
      <w:r w:rsidRPr="000118F9">
        <w:rPr>
          <w:rFonts w:cs="Calibri"/>
          <w:color w:val="000000" w:themeColor="text1"/>
        </w:rPr>
        <w:t>). The traits with the largest interaction coefficients were LDMC (</w:t>
      </w:r>
      <m:oMath>
        <m:sSub>
          <m:sSubPr>
            <m:ctrlPr>
              <w:rPr>
                <w:rFonts w:ascii="Cambria Math" w:hAnsi="Cambria Math" w:cs="Calibr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6</m:t>
            </m:r>
          </m:sub>
        </m:sSub>
        <m:r>
          <w:rPr>
            <w:rFonts w:ascii="Cambria Math" w:hAnsi="Cambria Math" w:cs="Calibri"/>
            <w:color w:val="000000" w:themeColor="text1"/>
          </w:rPr>
          <m:t>=</m:t>
        </m:r>
      </m:oMath>
      <w:r w:rsidRPr="000118F9">
        <w:rPr>
          <w:rFonts w:cs="Calibri"/>
          <w:color w:val="000000" w:themeColor="text1"/>
        </w:rPr>
        <w:t xml:space="preserve">-0.26, </w:t>
      </w:r>
      <w:r w:rsidRPr="000118F9">
        <w:rPr>
          <w:rFonts w:cs="Calibri"/>
          <w:i/>
          <w:color w:val="000000" w:themeColor="text1"/>
        </w:rPr>
        <w:t>P</w:t>
      </w:r>
      <w:r w:rsidRPr="000118F9">
        <w:rPr>
          <w:rFonts w:cs="Calibri"/>
          <w:color w:val="000000" w:themeColor="text1"/>
        </w:rPr>
        <w:t xml:space="preserve"> </w:t>
      </w:r>
      <m:oMath>
        <m:r>
          <w:rPr>
            <w:rFonts w:ascii="Cambria Math" w:hAnsi="Cambria Math" w:cs="Calibri"/>
            <w:color w:val="000000" w:themeColor="text1"/>
          </w:rPr>
          <m:t>&lt;</m:t>
        </m:r>
      </m:oMath>
      <w:r w:rsidRPr="000118F9">
        <w:rPr>
          <w:rFonts w:cs="Calibri"/>
          <w:color w:val="000000" w:themeColor="text1"/>
        </w:rPr>
        <w:t>0.01), RDMC (</w:t>
      </w:r>
      <m:oMath>
        <m:sSub>
          <m:sSubPr>
            <m:ctrlPr>
              <w:rPr>
                <w:rFonts w:ascii="Cambria Math" w:hAnsi="Cambria Math" w:cs="Calibr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6</m:t>
            </m:r>
          </m:sub>
        </m:sSub>
        <m:r>
          <w:rPr>
            <w:rFonts w:ascii="Cambria Math" w:hAnsi="Cambria Math" w:cs="Calibri"/>
            <w:color w:val="000000" w:themeColor="text1"/>
          </w:rPr>
          <m:t>=</m:t>
        </m:r>
      </m:oMath>
      <w:r w:rsidRPr="000118F9">
        <w:rPr>
          <w:rFonts w:cs="Calibri"/>
          <w:color w:val="000000" w:themeColor="text1"/>
        </w:rPr>
        <w:t xml:space="preserve">-0.21, </w:t>
      </w:r>
      <w:r w:rsidRPr="000118F9">
        <w:rPr>
          <w:rFonts w:cs="Calibri"/>
          <w:i/>
          <w:color w:val="000000" w:themeColor="text1"/>
        </w:rPr>
        <w:t>P</w:t>
      </w:r>
      <w:r w:rsidRPr="000118F9">
        <w:rPr>
          <w:rFonts w:cs="Calibri"/>
          <w:color w:val="000000" w:themeColor="text1"/>
        </w:rPr>
        <w:t xml:space="preserve"> </w:t>
      </w:r>
      <m:oMath>
        <m:r>
          <w:rPr>
            <w:rFonts w:ascii="Cambria Math" w:hAnsi="Cambria Math" w:cs="Calibri"/>
            <w:color w:val="000000" w:themeColor="text1"/>
          </w:rPr>
          <m:t>&lt;</m:t>
        </m:r>
      </m:oMath>
      <w:r w:rsidRPr="000118F9">
        <w:rPr>
          <w:rFonts w:cs="Calibri"/>
          <w:color w:val="000000" w:themeColor="text1"/>
        </w:rPr>
        <w:t>0.01), and TLP (</w:t>
      </w:r>
      <m:oMath>
        <m:sSub>
          <m:sSubPr>
            <m:ctrlPr>
              <w:rPr>
                <w:rFonts w:ascii="Cambria Math" w:hAnsi="Cambria Math" w:cs="Calibr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6</m:t>
            </m:r>
          </m:sub>
        </m:sSub>
        <m:r>
          <w:rPr>
            <w:rFonts w:ascii="Cambria Math" w:hAnsi="Cambria Math" w:cs="Calibri"/>
            <w:color w:val="000000" w:themeColor="text1"/>
          </w:rPr>
          <m:t>=</m:t>
        </m:r>
      </m:oMath>
      <w:r w:rsidRPr="000118F9">
        <w:rPr>
          <w:rFonts w:cs="Calibri"/>
          <w:color w:val="000000" w:themeColor="text1"/>
        </w:rPr>
        <w:t xml:space="preserve">0.15, </w:t>
      </w:r>
      <w:r w:rsidRPr="000118F9">
        <w:rPr>
          <w:rFonts w:cs="Calibri"/>
          <w:i/>
          <w:color w:val="000000" w:themeColor="text1"/>
        </w:rPr>
        <w:t>P</w:t>
      </w:r>
      <w:r w:rsidRPr="000118F9">
        <w:rPr>
          <w:rFonts w:cs="Calibri"/>
          <w:color w:val="000000" w:themeColor="text1"/>
        </w:rPr>
        <w:t xml:space="preserve"> </w:t>
      </w:r>
      <m:oMath>
        <m:r>
          <w:rPr>
            <w:rFonts w:ascii="Cambria Math" w:hAnsi="Cambria Math" w:cs="Calibri"/>
            <w:color w:val="000000" w:themeColor="text1"/>
          </w:rPr>
          <m:t>&lt;</m:t>
        </m:r>
      </m:oMath>
      <w:r w:rsidRPr="000118F9">
        <w:rPr>
          <w:rFonts w:cs="Calibri"/>
          <w:color w:val="000000" w:themeColor="text1"/>
        </w:rPr>
        <w:t xml:space="preserve">0.01)(Table </w:t>
      </w:r>
      <w:hyperlink w:anchor="ModResults">
        <w:r w:rsidR="00DD2CE4">
          <w:rPr>
            <w:rStyle w:val="Hyperlink"/>
            <w:rFonts w:cs="Calibri"/>
            <w:color w:val="000000" w:themeColor="text1"/>
          </w:rPr>
          <w:t>1</w:t>
        </w:r>
      </w:hyperlink>
      <w:r w:rsidRPr="000118F9">
        <w:rPr>
          <w:rFonts w:cs="Calibri"/>
          <w:color w:val="000000" w:themeColor="text1"/>
        </w:rPr>
        <w:t xml:space="preserve">; Fig. </w:t>
      </w:r>
      <w:hyperlink w:anchor="fig:PredsObs">
        <w:r w:rsidRPr="000118F9">
          <w:rPr>
            <w:rStyle w:val="Hyperlink"/>
            <w:rFonts w:cs="Calibri"/>
            <w:color w:val="000000" w:themeColor="text1"/>
          </w:rPr>
          <w:t>4</w:t>
        </w:r>
      </w:hyperlink>
      <w:r w:rsidRPr="000118F9">
        <w:rPr>
          <w:rFonts w:cs="Calibri"/>
          <w:color w:val="000000" w:themeColor="text1"/>
        </w:rPr>
        <w:t>)</w:t>
      </w:r>
      <w:r w:rsidR="00DD2CE4">
        <w:rPr>
          <w:rFonts w:cs="Calibri"/>
          <w:color w:val="000000" w:themeColor="text1"/>
        </w:rPr>
        <w:t xml:space="preserve"> </w:t>
      </w:r>
      <w:r w:rsidR="0017335D">
        <w:rPr>
          <w:rFonts w:cs="Calibri"/>
          <w:color w:val="000000" w:themeColor="text1"/>
        </w:rPr>
        <w:t xml:space="preserve"> </w:t>
      </w:r>
      <w:r w:rsidR="00DD2CE4">
        <w:rPr>
          <w:rFonts w:cs="Calibri"/>
          <w:color w:val="000000" w:themeColor="text1"/>
        </w:rPr>
        <w:t>(</w:t>
      </w:r>
      <w:r w:rsidRPr="000118F9">
        <w:rPr>
          <w:rFonts w:cs="Calibri"/>
          <w:color w:val="000000" w:themeColor="text1"/>
        </w:rPr>
        <w:t xml:space="preserve">Fig. </w:t>
      </w:r>
      <w:hyperlink w:anchor="fig:PredsObs">
        <w:r w:rsidRPr="000118F9">
          <w:rPr>
            <w:rStyle w:val="Hyperlink"/>
            <w:rFonts w:cs="Calibri"/>
            <w:color w:val="000000" w:themeColor="text1"/>
          </w:rPr>
          <w:t>4</w:t>
        </w:r>
      </w:hyperlink>
      <w:r w:rsidR="00DD2CE4">
        <w:rPr>
          <w:rFonts w:cs="Calibri"/>
          <w:color w:val="000000" w:themeColor="text1"/>
        </w:rPr>
        <w:t>;</w:t>
      </w:r>
      <w:r w:rsidRPr="000118F9">
        <w:rPr>
          <w:rFonts w:cs="Calibri"/>
          <w:color w:val="000000" w:themeColor="text1"/>
        </w:rPr>
        <w:t xml:space="preserve"> </w:t>
      </w:r>
      <w:r w:rsidRPr="000118F9">
        <w:rPr>
          <w:rFonts w:cs="Calibri"/>
          <w:b/>
          <w:color w:val="000000" w:themeColor="text1"/>
        </w:rPr>
        <w:t>A</w:t>
      </w:r>
      <w:r w:rsidRPr="000118F9">
        <w:rPr>
          <w:rFonts w:cs="Calibri"/>
          <w:color w:val="000000" w:themeColor="text1"/>
        </w:rPr>
        <w:t xml:space="preserve">, </w:t>
      </w:r>
      <w:r w:rsidRPr="000118F9">
        <w:rPr>
          <w:rFonts w:cs="Calibri"/>
          <w:b/>
          <w:color w:val="000000" w:themeColor="text1"/>
        </w:rPr>
        <w:t>D</w:t>
      </w:r>
      <w:r w:rsidRPr="000118F9">
        <w:rPr>
          <w:rFonts w:cs="Calibri"/>
          <w:color w:val="000000" w:themeColor="text1"/>
        </w:rPr>
        <w:t xml:space="preserve">, </w:t>
      </w:r>
      <w:r w:rsidRPr="000118F9">
        <w:rPr>
          <w:rFonts w:cs="Calibri"/>
          <w:b/>
          <w:color w:val="000000" w:themeColor="text1"/>
        </w:rPr>
        <w:t>G</w:t>
      </w:r>
      <w:r w:rsidRPr="000118F9">
        <w:rPr>
          <w:rFonts w:cs="Calibri"/>
          <w:color w:val="000000" w:themeColor="text1"/>
        </w:rPr>
        <w:t xml:space="preserve">, </w:t>
      </w:r>
      <w:r w:rsidRPr="000118F9">
        <w:rPr>
          <w:rFonts w:cs="Calibri"/>
          <w:b/>
          <w:color w:val="000000" w:themeColor="text1"/>
        </w:rPr>
        <w:t>J</w:t>
      </w:r>
      <w:r w:rsidRPr="000118F9">
        <w:rPr>
          <w:rFonts w:cs="Calibri"/>
          <w:color w:val="000000" w:themeColor="text1"/>
        </w:rPr>
        <w:t xml:space="preserve"> and </w:t>
      </w:r>
      <w:r w:rsidRPr="000118F9">
        <w:rPr>
          <w:rFonts w:cs="Calibri"/>
          <w:b/>
          <w:color w:val="000000" w:themeColor="text1"/>
        </w:rPr>
        <w:t>M</w:t>
      </w:r>
      <w:r w:rsidR="00DD2CE4">
        <w:rPr>
          <w:rFonts w:cs="Calibri"/>
          <w:b/>
          <w:color w:val="000000" w:themeColor="text1"/>
        </w:rPr>
        <w:t>)</w:t>
      </w:r>
      <w:r w:rsidRPr="000118F9">
        <w:rPr>
          <w:rFonts w:cs="Calibri"/>
          <w:color w:val="000000" w:themeColor="text1"/>
        </w:rPr>
        <w:t xml:space="preserve">. Species with lower leaf TLP and species with higher LDMC and RDMC were more likely to survive in dry years than wet years. The opposite was true of species with higher TLP and lower LDMC and RDMC. </w:t>
      </w:r>
      <m:oMath>
        <m:r>
          <w:rPr>
            <w:rFonts w:ascii="Cambria Math" w:hAnsi="Cambria Math" w:cs="Calibri"/>
            <w:color w:val="000000" w:themeColor="text1"/>
          </w:rPr>
          <m:t>Δ</m:t>
        </m:r>
      </m:oMath>
      <w:r w:rsidRPr="000118F9">
        <w:rPr>
          <w:rFonts w:cs="Calibri"/>
          <w:color w:val="000000" w:themeColor="text1"/>
        </w:rPr>
        <w:t xml:space="preserve"> AIC values indicate that LDMC, RDMC, TLP, and RDiam are the traits that best predict how survival probability changes across a gradient of SPEI (Table </w:t>
      </w:r>
      <w:hyperlink w:anchor="ModResults">
        <w:r w:rsidR="00DD2CE4">
          <w:rPr>
            <w:rStyle w:val="Hyperlink"/>
            <w:rFonts w:cs="Calibri"/>
            <w:color w:val="000000" w:themeColor="text1"/>
          </w:rPr>
          <w:t>1</w:t>
        </w:r>
      </w:hyperlink>
      <w:r w:rsidRPr="000118F9">
        <w:rPr>
          <w:rFonts w:cs="Calibri"/>
          <w:color w:val="000000" w:themeColor="text1"/>
        </w:rPr>
        <w:t>).</w:t>
      </w:r>
    </w:p>
    <w:p w14:paraId="5476B814" w14:textId="77777777" w:rsidR="002639F7" w:rsidRPr="000118F9" w:rsidRDefault="00B04E25">
      <w:pPr>
        <w:pStyle w:val="Heading2"/>
        <w:rPr>
          <w:rFonts w:asciiTheme="minorHAnsi" w:hAnsiTheme="minorHAnsi" w:cs="Calibri"/>
          <w:color w:val="000000" w:themeColor="text1"/>
          <w:sz w:val="24"/>
          <w:szCs w:val="24"/>
        </w:rPr>
      </w:pPr>
      <w:bookmarkStart w:id="9" w:name="graminoid-growth"/>
      <w:bookmarkEnd w:id="8"/>
      <w:r w:rsidRPr="000118F9">
        <w:rPr>
          <w:rFonts w:asciiTheme="minorHAnsi" w:hAnsiTheme="minorHAnsi" w:cs="Calibri"/>
          <w:i/>
          <w:color w:val="000000" w:themeColor="text1"/>
          <w:sz w:val="24"/>
          <w:szCs w:val="24"/>
        </w:rPr>
        <w:t>Graminoid Growth</w:t>
      </w:r>
    </w:p>
    <w:p w14:paraId="6980ACFB" w14:textId="35E050D1" w:rsidR="002639F7" w:rsidRPr="000118F9" w:rsidRDefault="00B04E25" w:rsidP="00E159E2">
      <w:pPr>
        <w:pStyle w:val="FirstParagraph"/>
        <w:spacing w:line="480" w:lineRule="auto"/>
        <w:ind w:firstLine="720"/>
        <w:rPr>
          <w:rFonts w:cs="Calibri"/>
          <w:color w:val="000000" w:themeColor="text1"/>
        </w:rPr>
      </w:pPr>
      <w:r w:rsidRPr="000118F9">
        <w:rPr>
          <w:rFonts w:cs="Calibri"/>
          <w:color w:val="000000" w:themeColor="text1"/>
        </w:rPr>
        <w:t xml:space="preserve">We detected significant positive main effects of individual plant size in year </w:t>
      </w:r>
      <w:proofErr w:type="spellStart"/>
      <w:r w:rsidRPr="000118F9">
        <w:rPr>
          <w:rFonts w:cs="Calibri"/>
          <w:i/>
          <w:color w:val="000000" w:themeColor="text1"/>
        </w:rPr>
        <w:t>t</w:t>
      </w:r>
      <w:r w:rsidRPr="000118F9">
        <w:rPr>
          <w:rFonts w:cs="Calibri"/>
          <w:color w:val="000000" w:themeColor="text1"/>
        </w:rPr>
        <w:t xml:space="preserve"> on</w:t>
      </w:r>
      <w:proofErr w:type="spellEnd"/>
      <w:r w:rsidRPr="000118F9">
        <w:rPr>
          <w:rFonts w:cs="Calibri"/>
          <w:color w:val="000000" w:themeColor="text1"/>
        </w:rPr>
        <w:t xml:space="preserve"> size in year </w:t>
      </w:r>
      <w:r w:rsidRPr="000118F9">
        <w:rPr>
          <w:rFonts w:cs="Calibri"/>
          <w:i/>
          <w:color w:val="000000" w:themeColor="text1"/>
        </w:rPr>
        <w:t>t+1</w:t>
      </w:r>
      <w:r w:rsidRPr="000118F9">
        <w:rPr>
          <w:rFonts w:cs="Calibri"/>
          <w:color w:val="000000" w:themeColor="text1"/>
        </w:rPr>
        <w:t xml:space="preserve"> across all trait models (</w:t>
      </w:r>
      <w:r w:rsidRPr="000118F9">
        <w:rPr>
          <w:rFonts w:cs="Calibri"/>
          <w:i/>
          <w:color w:val="000000" w:themeColor="text1"/>
        </w:rPr>
        <w:t>P</w:t>
      </w:r>
      <w:r w:rsidRPr="000118F9">
        <w:rPr>
          <w:rFonts w:cs="Calibri"/>
          <w:color w:val="000000" w:themeColor="text1"/>
        </w:rPr>
        <w:t xml:space="preserve"> </w:t>
      </w:r>
      <m:oMath>
        <m:r>
          <w:rPr>
            <w:rFonts w:ascii="Cambria Math" w:hAnsi="Cambria Math" w:cs="Calibri"/>
            <w:color w:val="000000" w:themeColor="text1"/>
          </w:rPr>
          <m:t>&lt;0.01</m:t>
        </m:r>
      </m:oMath>
      <w:r w:rsidRPr="000118F9">
        <w:rPr>
          <w:rFonts w:cs="Calibri"/>
          <w:color w:val="000000" w:themeColor="text1"/>
        </w:rPr>
        <w:t xml:space="preserve">)(Table </w:t>
      </w:r>
      <w:hyperlink w:anchor="growth_ModResults">
        <w:r w:rsidR="00DD2CE4">
          <w:rPr>
            <w:rStyle w:val="Hyperlink"/>
            <w:rFonts w:cs="Calibri"/>
            <w:color w:val="000000" w:themeColor="text1"/>
          </w:rPr>
          <w:t>2</w:t>
        </w:r>
      </w:hyperlink>
      <w:r w:rsidRPr="000118F9">
        <w:rPr>
          <w:rFonts w:cs="Calibri"/>
          <w:color w:val="000000" w:themeColor="text1"/>
        </w:rPr>
        <w:t xml:space="preserve">; Fig. </w:t>
      </w:r>
      <w:hyperlink w:anchor="fig:Effects_Growth">
        <w:r w:rsidRPr="000118F9">
          <w:rPr>
            <w:rStyle w:val="Hyperlink"/>
            <w:rFonts w:cs="Calibri"/>
            <w:color w:val="000000" w:themeColor="text1"/>
          </w:rPr>
          <w:t>3</w:t>
        </w:r>
      </w:hyperlink>
      <w:r w:rsidRPr="000118F9">
        <w:rPr>
          <w:rFonts w:cs="Calibri"/>
          <w:color w:val="000000" w:themeColor="text1"/>
        </w:rPr>
        <w:t xml:space="preserve">). Even though this effect is positive, it is never above zero. When plants are small in year </w:t>
      </w:r>
      <w:r w:rsidRPr="000118F9">
        <w:rPr>
          <w:rFonts w:cs="Calibri"/>
          <w:i/>
          <w:color w:val="000000" w:themeColor="text1"/>
        </w:rPr>
        <w:t>t</w:t>
      </w:r>
      <w:r w:rsidRPr="000118F9">
        <w:rPr>
          <w:rFonts w:cs="Calibri"/>
          <w:color w:val="000000" w:themeColor="text1"/>
        </w:rPr>
        <w:t xml:space="preserve">, they are likely to become larger in year </w:t>
      </w:r>
      <w:r w:rsidRPr="000118F9">
        <w:rPr>
          <w:rFonts w:cs="Calibri"/>
          <w:i/>
          <w:color w:val="000000" w:themeColor="text1"/>
        </w:rPr>
        <w:t>t+1</w:t>
      </w:r>
      <w:r w:rsidRPr="000118F9">
        <w:rPr>
          <w:rFonts w:cs="Calibri"/>
          <w:color w:val="000000" w:themeColor="text1"/>
        </w:rPr>
        <w:t xml:space="preserve">. However, when they exceed a moderate size in year </w:t>
      </w:r>
      <w:r w:rsidRPr="000118F9">
        <w:rPr>
          <w:rFonts w:cs="Calibri"/>
          <w:i/>
          <w:color w:val="000000" w:themeColor="text1"/>
        </w:rPr>
        <w:t>t</w:t>
      </w:r>
      <w:r w:rsidRPr="000118F9">
        <w:rPr>
          <w:rFonts w:cs="Calibri"/>
          <w:color w:val="000000" w:themeColor="text1"/>
        </w:rPr>
        <w:t xml:space="preserve">, they are likely to shrink in year </w:t>
      </w:r>
      <w:r w:rsidRPr="000118F9">
        <w:rPr>
          <w:rFonts w:cs="Calibri"/>
          <w:i/>
          <w:color w:val="000000" w:themeColor="text1"/>
        </w:rPr>
        <w:t>t+1</w:t>
      </w:r>
      <w:r w:rsidRPr="000118F9">
        <w:rPr>
          <w:rFonts w:cs="Calibri"/>
          <w:color w:val="000000" w:themeColor="text1"/>
        </w:rPr>
        <w:t xml:space="preserve">. This is shown in Fig. </w:t>
      </w:r>
      <w:hyperlink w:anchor="fig:Effects_Growth">
        <w:r w:rsidRPr="000118F9">
          <w:rPr>
            <w:rStyle w:val="Hyperlink"/>
            <w:rFonts w:cs="Calibri"/>
            <w:color w:val="000000" w:themeColor="text1"/>
          </w:rPr>
          <w:t>3</w:t>
        </w:r>
      </w:hyperlink>
      <w:r w:rsidR="00DD2CE4">
        <w:rPr>
          <w:rFonts w:cs="Calibri"/>
          <w:color w:val="000000" w:themeColor="text1"/>
        </w:rPr>
        <w:t>;</w:t>
      </w:r>
      <w:r w:rsidRPr="000118F9">
        <w:rPr>
          <w:rFonts w:cs="Calibri"/>
          <w:b/>
          <w:color w:val="000000" w:themeColor="text1"/>
        </w:rPr>
        <w:t>B</w:t>
      </w:r>
      <w:r w:rsidRPr="000118F9">
        <w:rPr>
          <w:rFonts w:cs="Calibri"/>
          <w:color w:val="000000" w:themeColor="text1"/>
        </w:rPr>
        <w:t xml:space="preserve"> and </w:t>
      </w:r>
      <w:r w:rsidRPr="000118F9">
        <w:rPr>
          <w:rFonts w:cs="Calibri"/>
          <w:b/>
          <w:color w:val="000000" w:themeColor="text1"/>
        </w:rPr>
        <w:t>C</w:t>
      </w:r>
      <w:r w:rsidRPr="000118F9">
        <w:rPr>
          <w:rFonts w:cs="Calibri"/>
          <w:color w:val="000000" w:themeColor="text1"/>
        </w:rPr>
        <w:t>, where at a smaller value of size</w:t>
      </w:r>
      <m:oMath>
        <m:sSub>
          <m:sSubPr>
            <m:ctrlPr>
              <w:rPr>
                <w:rFonts w:ascii="Cambria Math" w:hAnsi="Cambria Math" w:cs="Calibri"/>
                <w:color w:val="000000" w:themeColor="text1"/>
              </w:rPr>
            </m:ctrlPr>
          </m:sSubPr>
          <m:e>
            <m:r>
              <w:rPr>
                <w:rFonts w:ascii="Cambria Math" w:hAnsi="Cambria Math" w:cs="Calibri"/>
                <w:color w:val="000000" w:themeColor="text1"/>
              </w:rPr>
              <m:t>​</m:t>
            </m:r>
          </m:e>
          <m:sub>
            <m:r>
              <m:rPr>
                <m:nor/>
              </m:rPr>
              <w:rPr>
                <w:rFonts w:cs="Calibri"/>
                <w:color w:val="000000" w:themeColor="text1"/>
              </w:rPr>
              <m:t>t</m:t>
            </m:r>
          </m:sub>
        </m:sSub>
      </m:oMath>
      <w:r w:rsidRPr="000118F9">
        <w:rPr>
          <w:rFonts w:cs="Calibri"/>
          <w:color w:val="000000" w:themeColor="text1"/>
        </w:rPr>
        <w:t>, lines showing the average relationship between size</w:t>
      </w:r>
      <m:oMath>
        <m:sSub>
          <m:sSubPr>
            <m:ctrlPr>
              <w:rPr>
                <w:rFonts w:ascii="Cambria Math" w:hAnsi="Cambria Math" w:cs="Calibri"/>
                <w:color w:val="000000" w:themeColor="text1"/>
              </w:rPr>
            </m:ctrlPr>
          </m:sSubPr>
          <m:e>
            <m:r>
              <w:rPr>
                <w:rFonts w:ascii="Cambria Math" w:hAnsi="Cambria Math" w:cs="Calibri"/>
                <w:color w:val="000000" w:themeColor="text1"/>
              </w:rPr>
              <m:t>​</m:t>
            </m:r>
          </m:e>
          <m:sub>
            <m:r>
              <m:rPr>
                <m:nor/>
              </m:rPr>
              <w:rPr>
                <w:rFonts w:cs="Calibri"/>
                <w:color w:val="000000" w:themeColor="text1"/>
              </w:rPr>
              <m:t>t</m:t>
            </m:r>
          </m:sub>
        </m:sSub>
      </m:oMath>
      <w:r w:rsidRPr="000118F9">
        <w:rPr>
          <w:rFonts w:cs="Calibri"/>
          <w:color w:val="000000" w:themeColor="text1"/>
        </w:rPr>
        <w:t xml:space="preserve"> and size</w:t>
      </w:r>
      <m:oMath>
        <m:sSub>
          <m:sSubPr>
            <m:ctrlPr>
              <w:rPr>
                <w:rFonts w:ascii="Cambria Math" w:hAnsi="Cambria Math" w:cs="Calibri"/>
                <w:color w:val="000000" w:themeColor="text1"/>
              </w:rPr>
            </m:ctrlPr>
          </m:sSubPr>
          <m:e>
            <m:r>
              <w:rPr>
                <w:rFonts w:ascii="Cambria Math" w:hAnsi="Cambria Math" w:cs="Calibri"/>
                <w:color w:val="000000" w:themeColor="text1"/>
              </w:rPr>
              <m:t>​</m:t>
            </m:r>
          </m:e>
          <m:sub>
            <m:r>
              <m:rPr>
                <m:nor/>
              </m:rPr>
              <w:rPr>
                <w:rFonts w:cs="Calibri"/>
                <w:color w:val="000000" w:themeColor="text1"/>
              </w:rPr>
              <m:t>t+1</m:t>
            </m:r>
          </m:sub>
        </m:sSub>
      </m:oMath>
      <w:r w:rsidRPr="000118F9">
        <w:rPr>
          <w:rFonts w:cs="Calibri"/>
          <w:color w:val="000000" w:themeColor="text1"/>
        </w:rPr>
        <w:t xml:space="preserve"> are above the 1:1 dashed line, while at larger sizes of size</w:t>
      </w:r>
      <m:oMath>
        <m:sSub>
          <m:sSubPr>
            <m:ctrlPr>
              <w:rPr>
                <w:rFonts w:ascii="Cambria Math" w:hAnsi="Cambria Math" w:cs="Calibri"/>
                <w:color w:val="000000" w:themeColor="text1"/>
              </w:rPr>
            </m:ctrlPr>
          </m:sSubPr>
          <m:e>
            <m:r>
              <w:rPr>
                <w:rFonts w:ascii="Cambria Math" w:hAnsi="Cambria Math" w:cs="Calibri"/>
                <w:color w:val="000000" w:themeColor="text1"/>
              </w:rPr>
              <m:t>​</m:t>
            </m:r>
          </m:e>
          <m:sub>
            <m:r>
              <m:rPr>
                <m:nor/>
              </m:rPr>
              <w:rPr>
                <w:rFonts w:cs="Calibri"/>
                <w:color w:val="000000" w:themeColor="text1"/>
              </w:rPr>
              <m:t>t</m:t>
            </m:r>
          </m:sub>
        </m:sSub>
      </m:oMath>
      <w:r w:rsidRPr="000118F9">
        <w:rPr>
          <w:rFonts w:cs="Calibri"/>
          <w:color w:val="000000" w:themeColor="text1"/>
        </w:rPr>
        <w:t>, the fitted lines are below the dashed line. Across all models of plant growth, there was a significant negative main effect of local neighborhood conspecific density (</w:t>
      </w:r>
      <w:r w:rsidRPr="000118F9">
        <w:rPr>
          <w:rFonts w:cs="Calibri"/>
          <w:i/>
          <w:color w:val="000000" w:themeColor="text1"/>
        </w:rPr>
        <w:t>P</w:t>
      </w:r>
      <w:r w:rsidRPr="000118F9">
        <w:rPr>
          <w:rFonts w:cs="Calibri"/>
          <w:color w:val="000000" w:themeColor="text1"/>
        </w:rPr>
        <w:t xml:space="preserve"> </w:t>
      </w:r>
      <m:oMath>
        <m:r>
          <w:rPr>
            <w:rFonts w:ascii="Cambria Math" w:hAnsi="Cambria Math" w:cs="Calibri"/>
            <w:color w:val="000000" w:themeColor="text1"/>
          </w:rPr>
          <m:t>&lt;0.01</m:t>
        </m:r>
      </m:oMath>
      <w:r w:rsidRPr="000118F9">
        <w:rPr>
          <w:rFonts w:cs="Calibri"/>
          <w:color w:val="000000" w:themeColor="text1"/>
        </w:rPr>
        <w:t xml:space="preserve">)(Table </w:t>
      </w:r>
      <w:hyperlink w:anchor="growth_ModResults">
        <w:r w:rsidR="00DD2CE4">
          <w:rPr>
            <w:rStyle w:val="Hyperlink"/>
            <w:rFonts w:cs="Calibri"/>
            <w:color w:val="000000" w:themeColor="text1"/>
          </w:rPr>
          <w:t>2</w:t>
        </w:r>
      </w:hyperlink>
      <w:r w:rsidRPr="000118F9">
        <w:rPr>
          <w:rFonts w:cs="Calibri"/>
          <w:color w:val="000000" w:themeColor="text1"/>
        </w:rPr>
        <w:t>).</w:t>
      </w:r>
    </w:p>
    <w:p w14:paraId="08791199" w14:textId="0154684F" w:rsidR="002639F7" w:rsidRPr="000118F9" w:rsidRDefault="00B04E25" w:rsidP="00E159E2">
      <w:pPr>
        <w:pStyle w:val="BodyText"/>
        <w:spacing w:line="480" w:lineRule="auto"/>
        <w:ind w:firstLine="720"/>
        <w:rPr>
          <w:rFonts w:cs="Calibri"/>
          <w:color w:val="000000" w:themeColor="text1"/>
        </w:rPr>
      </w:pPr>
      <w:r w:rsidRPr="000118F9">
        <w:rPr>
          <w:rFonts w:cs="Calibri"/>
          <w:color w:val="000000" w:themeColor="text1"/>
        </w:rPr>
        <w:lastRenderedPageBreak/>
        <w:t xml:space="preserve">Models of graminoid growth did not identify any significant interactions between trait and SPEI (Table </w:t>
      </w:r>
      <w:hyperlink w:anchor="growth_ModResults">
        <w:r w:rsidR="00DD2CE4">
          <w:rPr>
            <w:rStyle w:val="Hyperlink"/>
            <w:rFonts w:cs="Calibri"/>
            <w:color w:val="000000" w:themeColor="text1"/>
          </w:rPr>
          <w:t>2</w:t>
        </w:r>
      </w:hyperlink>
      <w:r w:rsidRPr="000118F9">
        <w:rPr>
          <w:rFonts w:cs="Calibri"/>
          <w:color w:val="000000" w:themeColor="text1"/>
        </w:rPr>
        <w:t xml:space="preserve">, Fig. </w:t>
      </w:r>
      <w:hyperlink w:anchor="fig:PredsObs">
        <w:r w:rsidRPr="000118F9">
          <w:rPr>
            <w:rStyle w:val="Hyperlink"/>
            <w:rFonts w:cs="Calibri"/>
            <w:color w:val="000000" w:themeColor="text1"/>
          </w:rPr>
          <w:t>4</w:t>
        </w:r>
      </w:hyperlink>
      <w:r w:rsidR="00DD2CE4">
        <w:rPr>
          <w:rFonts w:cs="Calibri"/>
          <w:color w:val="000000" w:themeColor="text1"/>
        </w:rPr>
        <w:t>;</w:t>
      </w:r>
      <w:r w:rsidRPr="000118F9">
        <w:rPr>
          <w:rFonts w:cs="Calibri"/>
          <w:color w:val="000000" w:themeColor="text1"/>
        </w:rPr>
        <w:t xml:space="preserve"> </w:t>
      </w:r>
      <w:r w:rsidRPr="000118F9">
        <w:rPr>
          <w:rFonts w:cs="Calibri"/>
          <w:b/>
          <w:color w:val="000000" w:themeColor="text1"/>
        </w:rPr>
        <w:t>B</w:t>
      </w:r>
      <w:r w:rsidRPr="000118F9">
        <w:rPr>
          <w:rFonts w:cs="Calibri"/>
          <w:color w:val="000000" w:themeColor="text1"/>
        </w:rPr>
        <w:t xml:space="preserve">, </w:t>
      </w:r>
      <w:r w:rsidRPr="000118F9">
        <w:rPr>
          <w:rFonts w:cs="Calibri"/>
          <w:b/>
          <w:color w:val="000000" w:themeColor="text1"/>
        </w:rPr>
        <w:t>E</w:t>
      </w:r>
      <w:r w:rsidRPr="000118F9">
        <w:rPr>
          <w:rFonts w:cs="Calibri"/>
          <w:color w:val="000000" w:themeColor="text1"/>
        </w:rPr>
        <w:t xml:space="preserve">, </w:t>
      </w:r>
      <w:r w:rsidRPr="000118F9">
        <w:rPr>
          <w:rFonts w:cs="Calibri"/>
          <w:b/>
          <w:color w:val="000000" w:themeColor="text1"/>
        </w:rPr>
        <w:t>H</w:t>
      </w:r>
      <w:r w:rsidRPr="000118F9">
        <w:rPr>
          <w:rFonts w:cs="Calibri"/>
          <w:color w:val="000000" w:themeColor="text1"/>
        </w:rPr>
        <w:t xml:space="preserve">, </w:t>
      </w:r>
      <w:r w:rsidRPr="000118F9">
        <w:rPr>
          <w:rFonts w:cs="Calibri"/>
          <w:b/>
          <w:color w:val="000000" w:themeColor="text1"/>
        </w:rPr>
        <w:t>K</w:t>
      </w:r>
      <w:r w:rsidRPr="000118F9">
        <w:rPr>
          <w:rFonts w:cs="Calibri"/>
          <w:color w:val="000000" w:themeColor="text1"/>
        </w:rPr>
        <w:t xml:space="preserve">, </w:t>
      </w:r>
      <w:r w:rsidRPr="000118F9">
        <w:rPr>
          <w:rFonts w:cs="Calibri"/>
          <w:b/>
          <w:color w:val="000000" w:themeColor="text1"/>
        </w:rPr>
        <w:t>N</w:t>
      </w:r>
      <w:r w:rsidRPr="000118F9">
        <w:rPr>
          <w:rFonts w:cs="Calibri"/>
          <w:color w:val="000000" w:themeColor="text1"/>
        </w:rPr>
        <w:t>). Species with trait values across the spectrum of measured traits were more likely to become larger in the next year when SPEI was higher, although this relationship was only statistically significant in models using TLP (</w:t>
      </w:r>
      <m:oMath>
        <m:sSub>
          <m:sSubPr>
            <m:ctrlPr>
              <w:rPr>
                <w:rFonts w:ascii="Cambria Math" w:hAnsi="Cambria Math" w:cs="Calibr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2</m:t>
            </m:r>
          </m:sub>
        </m:sSub>
        <m:r>
          <w:rPr>
            <w:rFonts w:ascii="Cambria Math" w:hAnsi="Cambria Math" w:cs="Calibri"/>
            <w:color w:val="000000" w:themeColor="text1"/>
          </w:rPr>
          <m:t>=</m:t>
        </m:r>
      </m:oMath>
      <w:r w:rsidRPr="000118F9">
        <w:rPr>
          <w:rFonts w:cs="Calibri"/>
          <w:color w:val="000000" w:themeColor="text1"/>
        </w:rPr>
        <w:t xml:space="preserve">0.12, </w:t>
      </w:r>
      <w:r w:rsidRPr="000118F9">
        <w:rPr>
          <w:rFonts w:cs="Calibri"/>
          <w:i/>
          <w:color w:val="000000" w:themeColor="text1"/>
        </w:rPr>
        <w:t>P</w:t>
      </w:r>
      <w:r w:rsidRPr="000118F9">
        <w:rPr>
          <w:rFonts w:cs="Calibri"/>
          <w:color w:val="000000" w:themeColor="text1"/>
        </w:rPr>
        <w:t xml:space="preserve"> </w:t>
      </w:r>
      <m:oMath>
        <m:r>
          <w:rPr>
            <w:rFonts w:ascii="Cambria Math" w:hAnsi="Cambria Math" w:cs="Calibri"/>
            <w:color w:val="000000" w:themeColor="text1"/>
          </w:rPr>
          <m:t>&lt;</m:t>
        </m:r>
      </m:oMath>
      <w:r w:rsidRPr="000118F9">
        <w:rPr>
          <w:rFonts w:cs="Calibri"/>
          <w:color w:val="000000" w:themeColor="text1"/>
        </w:rPr>
        <w:t>0.05), LDMC (</w:t>
      </w:r>
      <m:oMath>
        <m:sSub>
          <m:sSubPr>
            <m:ctrlPr>
              <w:rPr>
                <w:rFonts w:ascii="Cambria Math" w:hAnsi="Cambria Math" w:cs="Calibr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2</m:t>
            </m:r>
          </m:sub>
        </m:sSub>
        <m:r>
          <w:rPr>
            <w:rFonts w:ascii="Cambria Math" w:hAnsi="Cambria Math" w:cs="Calibri"/>
            <w:color w:val="000000" w:themeColor="text1"/>
          </w:rPr>
          <m:t>=</m:t>
        </m:r>
      </m:oMath>
      <w:r w:rsidRPr="000118F9">
        <w:rPr>
          <w:rFonts w:cs="Calibri"/>
          <w:color w:val="000000" w:themeColor="text1"/>
        </w:rPr>
        <w:t xml:space="preserve">0.13, </w:t>
      </w:r>
      <w:r w:rsidRPr="000118F9">
        <w:rPr>
          <w:rFonts w:cs="Calibri"/>
          <w:i/>
          <w:color w:val="000000" w:themeColor="text1"/>
        </w:rPr>
        <w:t>P</w:t>
      </w:r>
      <w:r w:rsidRPr="000118F9">
        <w:rPr>
          <w:rFonts w:cs="Calibri"/>
          <w:color w:val="000000" w:themeColor="text1"/>
        </w:rPr>
        <w:t xml:space="preserve"> </w:t>
      </w:r>
      <m:oMath>
        <m:r>
          <w:rPr>
            <w:rFonts w:ascii="Cambria Math" w:hAnsi="Cambria Math" w:cs="Calibri"/>
            <w:color w:val="000000" w:themeColor="text1"/>
          </w:rPr>
          <m:t>&lt;</m:t>
        </m:r>
      </m:oMath>
      <w:r w:rsidRPr="000118F9">
        <w:rPr>
          <w:rFonts w:cs="Calibri"/>
          <w:color w:val="000000" w:themeColor="text1"/>
        </w:rPr>
        <w:t>0.05), SLA (</w:t>
      </w:r>
      <m:oMath>
        <m:sSub>
          <m:sSubPr>
            <m:ctrlPr>
              <w:rPr>
                <w:rFonts w:ascii="Cambria Math" w:hAnsi="Cambria Math" w:cs="Calibr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2</m:t>
            </m:r>
          </m:sub>
        </m:sSub>
        <m:r>
          <w:rPr>
            <w:rFonts w:ascii="Cambria Math" w:hAnsi="Cambria Math" w:cs="Calibri"/>
            <w:color w:val="000000" w:themeColor="text1"/>
          </w:rPr>
          <m:t>=</m:t>
        </m:r>
      </m:oMath>
      <w:r w:rsidRPr="000118F9">
        <w:rPr>
          <w:rFonts w:cs="Calibri"/>
          <w:color w:val="000000" w:themeColor="text1"/>
        </w:rPr>
        <w:t xml:space="preserve">0.12, </w:t>
      </w:r>
      <w:r w:rsidRPr="000118F9">
        <w:rPr>
          <w:rFonts w:cs="Calibri"/>
          <w:i/>
          <w:color w:val="000000" w:themeColor="text1"/>
        </w:rPr>
        <w:t>P</w:t>
      </w:r>
      <w:r w:rsidRPr="000118F9">
        <w:rPr>
          <w:rFonts w:cs="Calibri"/>
          <w:color w:val="000000" w:themeColor="text1"/>
        </w:rPr>
        <w:t xml:space="preserve"> </w:t>
      </w:r>
      <m:oMath>
        <m:r>
          <w:rPr>
            <w:rFonts w:ascii="Cambria Math" w:hAnsi="Cambria Math" w:cs="Calibri"/>
            <w:color w:val="000000" w:themeColor="text1"/>
          </w:rPr>
          <m:t>&lt;</m:t>
        </m:r>
      </m:oMath>
      <w:r w:rsidRPr="000118F9">
        <w:rPr>
          <w:rFonts w:cs="Calibri"/>
          <w:color w:val="000000" w:themeColor="text1"/>
        </w:rPr>
        <w:t>0.05), RDMC (</w:t>
      </w:r>
      <m:oMath>
        <m:sSub>
          <m:sSubPr>
            <m:ctrlPr>
              <w:rPr>
                <w:rFonts w:ascii="Cambria Math" w:hAnsi="Cambria Math" w:cs="Calibr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2</m:t>
            </m:r>
          </m:sub>
        </m:sSub>
        <m:r>
          <w:rPr>
            <w:rFonts w:ascii="Cambria Math" w:hAnsi="Cambria Math" w:cs="Calibri"/>
            <w:color w:val="000000" w:themeColor="text1"/>
          </w:rPr>
          <m:t>=</m:t>
        </m:r>
      </m:oMath>
      <w:r w:rsidRPr="000118F9">
        <w:rPr>
          <w:rFonts w:cs="Calibri"/>
          <w:color w:val="000000" w:themeColor="text1"/>
        </w:rPr>
        <w:t xml:space="preserve">0/12, </w:t>
      </w:r>
      <w:r w:rsidRPr="000118F9">
        <w:rPr>
          <w:rFonts w:cs="Calibri"/>
          <w:i/>
          <w:color w:val="000000" w:themeColor="text1"/>
        </w:rPr>
        <w:t>P</w:t>
      </w:r>
      <w:r w:rsidRPr="000118F9">
        <w:rPr>
          <w:rFonts w:cs="Calibri"/>
          <w:color w:val="000000" w:themeColor="text1"/>
        </w:rPr>
        <w:t xml:space="preserve"> </w:t>
      </w:r>
      <m:oMath>
        <m:r>
          <w:rPr>
            <w:rFonts w:ascii="Cambria Math" w:hAnsi="Cambria Math" w:cs="Calibri"/>
            <w:color w:val="000000" w:themeColor="text1"/>
          </w:rPr>
          <m:t>&lt;</m:t>
        </m:r>
      </m:oMath>
      <w:r w:rsidRPr="000118F9">
        <w:rPr>
          <w:rFonts w:cs="Calibri"/>
          <w:color w:val="000000" w:themeColor="text1"/>
        </w:rPr>
        <w:t>0.05), and RDiam (</w:t>
      </w:r>
      <m:oMath>
        <m:sSub>
          <m:sSubPr>
            <m:ctrlPr>
              <w:rPr>
                <w:rFonts w:ascii="Cambria Math" w:hAnsi="Cambria Math" w:cs="Calibr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2</m:t>
            </m:r>
          </m:sub>
        </m:sSub>
        <m:r>
          <w:rPr>
            <w:rFonts w:ascii="Cambria Math" w:hAnsi="Cambria Math" w:cs="Calibri"/>
            <w:color w:val="000000" w:themeColor="text1"/>
          </w:rPr>
          <m:t>=</m:t>
        </m:r>
      </m:oMath>
      <w:r w:rsidRPr="000118F9">
        <w:rPr>
          <w:rFonts w:cs="Calibri"/>
          <w:color w:val="000000" w:themeColor="text1"/>
        </w:rPr>
        <w:t xml:space="preserve">0.12, </w:t>
      </w:r>
      <w:r w:rsidRPr="000118F9">
        <w:rPr>
          <w:rFonts w:cs="Calibri"/>
          <w:i/>
          <w:color w:val="000000" w:themeColor="text1"/>
        </w:rPr>
        <w:t>P</w:t>
      </w:r>
      <w:r w:rsidRPr="000118F9">
        <w:rPr>
          <w:rFonts w:cs="Calibri"/>
          <w:color w:val="000000" w:themeColor="text1"/>
        </w:rPr>
        <w:t xml:space="preserve"> </w:t>
      </w:r>
      <m:oMath>
        <m:r>
          <w:rPr>
            <w:rFonts w:ascii="Cambria Math" w:hAnsi="Cambria Math" w:cs="Calibri"/>
            <w:color w:val="000000" w:themeColor="text1"/>
          </w:rPr>
          <m:t>&lt;</m:t>
        </m:r>
      </m:oMath>
      <w:r w:rsidRPr="000118F9">
        <w:rPr>
          <w:rFonts w:cs="Calibri"/>
          <w:color w:val="000000" w:themeColor="text1"/>
        </w:rPr>
        <w:t>0.05). Species with low TLP (</w:t>
      </w:r>
      <m:oMath>
        <m:sSub>
          <m:sSubPr>
            <m:ctrlPr>
              <w:rPr>
                <w:rFonts w:ascii="Cambria Math" w:hAnsi="Cambria Math" w:cs="Calibr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2</m:t>
            </m:r>
          </m:sub>
        </m:sSub>
        <m:r>
          <w:rPr>
            <w:rFonts w:ascii="Cambria Math" w:hAnsi="Cambria Math" w:cs="Calibri"/>
            <w:color w:val="000000" w:themeColor="text1"/>
          </w:rPr>
          <m:t>=</m:t>
        </m:r>
      </m:oMath>
      <w:r w:rsidRPr="000118F9">
        <w:rPr>
          <w:rFonts w:cs="Calibri"/>
          <w:color w:val="000000" w:themeColor="text1"/>
        </w:rPr>
        <w:t xml:space="preserve">-0.17, </w:t>
      </w:r>
      <w:r w:rsidRPr="000118F9">
        <w:rPr>
          <w:rFonts w:cs="Calibri"/>
          <w:i/>
          <w:color w:val="000000" w:themeColor="text1"/>
        </w:rPr>
        <w:t>P</w:t>
      </w:r>
      <w:r w:rsidRPr="000118F9">
        <w:rPr>
          <w:rFonts w:cs="Calibri"/>
          <w:color w:val="000000" w:themeColor="text1"/>
        </w:rPr>
        <w:t xml:space="preserve"> </w:t>
      </w:r>
      <m:oMath>
        <m:r>
          <w:rPr>
            <w:rFonts w:ascii="Cambria Math" w:hAnsi="Cambria Math" w:cs="Calibri"/>
            <w:color w:val="000000" w:themeColor="text1"/>
          </w:rPr>
          <m:t>&lt;</m:t>
        </m:r>
      </m:oMath>
      <w:r w:rsidRPr="000118F9">
        <w:rPr>
          <w:rFonts w:cs="Calibri"/>
          <w:color w:val="000000" w:themeColor="text1"/>
        </w:rPr>
        <w:t>0.05) and low RTD (</w:t>
      </w:r>
      <m:oMath>
        <m:sSub>
          <m:sSubPr>
            <m:ctrlPr>
              <w:rPr>
                <w:rFonts w:ascii="Cambria Math" w:hAnsi="Cambria Math" w:cs="Calibr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2</m:t>
            </m:r>
          </m:sub>
        </m:sSub>
        <m:r>
          <w:rPr>
            <w:rFonts w:ascii="Cambria Math" w:hAnsi="Cambria Math" w:cs="Calibri"/>
            <w:color w:val="000000" w:themeColor="text1"/>
          </w:rPr>
          <m:t>=</m:t>
        </m:r>
      </m:oMath>
      <w:r w:rsidRPr="000118F9">
        <w:rPr>
          <w:rFonts w:cs="Calibri"/>
          <w:color w:val="000000" w:themeColor="text1"/>
        </w:rPr>
        <w:t xml:space="preserve">-0.20, </w:t>
      </w:r>
      <w:r w:rsidRPr="000118F9">
        <w:rPr>
          <w:rFonts w:cs="Calibri"/>
          <w:i/>
          <w:color w:val="000000" w:themeColor="text1"/>
        </w:rPr>
        <w:t>P</w:t>
      </w:r>
      <w:r w:rsidRPr="000118F9">
        <w:rPr>
          <w:rFonts w:cs="Calibri"/>
          <w:color w:val="000000" w:themeColor="text1"/>
        </w:rPr>
        <w:t xml:space="preserve"> </w:t>
      </w:r>
      <m:oMath>
        <m:r>
          <w:rPr>
            <w:rFonts w:ascii="Cambria Math" w:hAnsi="Cambria Math" w:cs="Calibri"/>
            <w:color w:val="000000" w:themeColor="text1"/>
          </w:rPr>
          <m:t>&lt;</m:t>
        </m:r>
      </m:oMath>
      <w:r w:rsidRPr="000118F9">
        <w:rPr>
          <w:rFonts w:cs="Calibri"/>
          <w:color w:val="000000" w:themeColor="text1"/>
        </w:rPr>
        <w:t>0.05) were significantly more likely to grow larger in the next year. Species with high LDMC, SLA, RDMC, and RDiam and low SRL were more likely to grow larger in the next year, although these relationships were not statistically significant.</w:t>
      </w:r>
    </w:p>
    <w:p w14:paraId="27A4CA17" w14:textId="467392E0" w:rsidR="002639F7" w:rsidRPr="000118F9" w:rsidRDefault="00B04E25" w:rsidP="00E159E2">
      <w:pPr>
        <w:pStyle w:val="BodyText"/>
        <w:spacing w:line="480" w:lineRule="auto"/>
        <w:ind w:firstLine="720"/>
        <w:rPr>
          <w:rFonts w:cs="Calibri"/>
          <w:color w:val="000000" w:themeColor="text1"/>
        </w:rPr>
      </w:pPr>
      <w:r w:rsidRPr="000118F9">
        <w:rPr>
          <w:rFonts w:cs="Calibri"/>
          <w:color w:val="000000" w:themeColor="text1"/>
        </w:rPr>
        <w:t xml:space="preserve">Negative </w:t>
      </w:r>
      <m:oMath>
        <m:r>
          <w:rPr>
            <w:rFonts w:ascii="Cambria Math" w:hAnsi="Cambria Math" w:cs="Calibri"/>
            <w:color w:val="000000" w:themeColor="text1"/>
          </w:rPr>
          <m:t>Δ</m:t>
        </m:r>
      </m:oMath>
      <w:r w:rsidRPr="000118F9">
        <w:rPr>
          <w:rFonts w:cs="Calibri"/>
          <w:color w:val="000000" w:themeColor="text1"/>
        </w:rPr>
        <w:t xml:space="preserve"> AIC values for all models indicated that including a trait and trait-by-SPEI interaction made model fit worse (Table </w:t>
      </w:r>
      <w:hyperlink w:anchor="growth_ModResults">
        <w:r w:rsidR="00DD2CE4">
          <w:rPr>
            <w:rStyle w:val="Hyperlink"/>
            <w:rFonts w:cs="Calibri"/>
            <w:color w:val="000000" w:themeColor="text1"/>
          </w:rPr>
          <w:t>2</w:t>
        </w:r>
      </w:hyperlink>
      <w:r w:rsidRPr="000118F9">
        <w:rPr>
          <w:rFonts w:cs="Calibri"/>
          <w:color w:val="000000" w:themeColor="text1"/>
        </w:rPr>
        <w:t xml:space="preserve">). However, models using LDMC and RTD have the least negative </w:t>
      </w:r>
      <m:oMath>
        <m:r>
          <w:rPr>
            <w:rFonts w:ascii="Cambria Math" w:hAnsi="Cambria Math" w:cs="Calibri"/>
            <w:color w:val="000000" w:themeColor="text1"/>
          </w:rPr>
          <m:t>Δ</m:t>
        </m:r>
      </m:oMath>
      <w:r w:rsidRPr="000118F9">
        <w:rPr>
          <w:rFonts w:cs="Calibri"/>
          <w:color w:val="000000" w:themeColor="text1"/>
        </w:rPr>
        <w:t xml:space="preserve"> AIC values. These models including traits and trait-by-SPEI interactions explained 16-53% of the variation in growth rates (Table </w:t>
      </w:r>
      <w:hyperlink w:anchor="growth_ModResults">
        <w:r w:rsidR="00DD2CE4">
          <w:rPr>
            <w:rStyle w:val="Hyperlink"/>
            <w:rFonts w:cs="Calibri"/>
            <w:color w:val="000000" w:themeColor="text1"/>
          </w:rPr>
          <w:t>2</w:t>
        </w:r>
      </w:hyperlink>
      <w:r w:rsidRPr="000118F9">
        <w:rPr>
          <w:rFonts w:cs="Calibri"/>
          <w:color w:val="000000" w:themeColor="text1"/>
        </w:rPr>
        <w:t xml:space="preserve">). Based on </w:t>
      </w:r>
      <m:oMath>
        <m:r>
          <w:rPr>
            <w:rFonts w:ascii="Cambria Math" w:hAnsi="Cambria Math" w:cs="Calibri"/>
            <w:color w:val="000000" w:themeColor="text1"/>
          </w:rPr>
          <m:t>Δ</m:t>
        </m:r>
      </m:oMath>
      <w:r w:rsidRPr="000118F9">
        <w:rPr>
          <w:rFonts w:cs="Calibri"/>
          <w:color w:val="000000" w:themeColor="text1"/>
        </w:rPr>
        <w:t xml:space="preserve"> AIC, LDMC is potentially important for determining growth, just as it was for predicting graminoid survival in wet vs. dry years.</w:t>
      </w:r>
    </w:p>
    <w:p w14:paraId="77E98DF9" w14:textId="77777777" w:rsidR="002639F7" w:rsidRPr="000118F9" w:rsidRDefault="00B04E25">
      <w:pPr>
        <w:pStyle w:val="Heading2"/>
        <w:rPr>
          <w:rFonts w:asciiTheme="minorHAnsi" w:hAnsiTheme="minorHAnsi" w:cs="Calibri"/>
          <w:color w:val="000000" w:themeColor="text1"/>
          <w:sz w:val="24"/>
          <w:szCs w:val="24"/>
        </w:rPr>
      </w:pPr>
      <w:bookmarkStart w:id="10" w:name="forb-survival"/>
      <w:bookmarkEnd w:id="9"/>
      <w:r w:rsidRPr="000118F9">
        <w:rPr>
          <w:rFonts w:asciiTheme="minorHAnsi" w:hAnsiTheme="minorHAnsi" w:cs="Calibri"/>
          <w:i/>
          <w:color w:val="000000" w:themeColor="text1"/>
          <w:sz w:val="24"/>
          <w:szCs w:val="24"/>
        </w:rPr>
        <w:t>Forb Survival</w:t>
      </w:r>
    </w:p>
    <w:p w14:paraId="55F87D72" w14:textId="680673C5" w:rsidR="002639F7" w:rsidRPr="000118F9" w:rsidRDefault="00B04E25" w:rsidP="00E159E2">
      <w:pPr>
        <w:pStyle w:val="FirstParagraph"/>
        <w:spacing w:line="480" w:lineRule="auto"/>
        <w:ind w:firstLine="720"/>
        <w:rPr>
          <w:rFonts w:cs="Calibri"/>
          <w:color w:val="000000" w:themeColor="text1"/>
        </w:rPr>
      </w:pPr>
      <w:r w:rsidRPr="000118F9">
        <w:rPr>
          <w:rFonts w:cs="Calibri"/>
          <w:color w:val="000000" w:themeColor="text1"/>
        </w:rPr>
        <w:t xml:space="preserve">There was a negative main effect of local neighborhood conspecific density and a positive effect of SPEI for all models of forb survival, although these effects were not statistically significant (Table </w:t>
      </w:r>
      <w:hyperlink w:anchor="ForbSurv_ModResults">
        <w:r w:rsidR="0017335D">
          <w:rPr>
            <w:rStyle w:val="Hyperlink"/>
            <w:rFonts w:cs="Calibri"/>
            <w:color w:val="000000" w:themeColor="text1"/>
          </w:rPr>
          <w:t>3</w:t>
        </w:r>
      </w:hyperlink>
      <w:r w:rsidRPr="000118F9">
        <w:rPr>
          <w:rFonts w:cs="Calibri"/>
          <w:color w:val="000000" w:themeColor="text1"/>
        </w:rPr>
        <w:t>). There were also not significant effects of trait alone on forb survival probability. Marginal R</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2</m:t>
            </m:r>
          </m:sup>
        </m:sSup>
      </m:oMath>
      <w:r w:rsidRPr="000118F9">
        <w:rPr>
          <w:rFonts w:cs="Calibri"/>
          <w:color w:val="000000" w:themeColor="text1"/>
        </w:rPr>
        <w:t xml:space="preserve"> values were much smaller for forb models than graminoid models (all </w:t>
      </w:r>
      <m:oMath>
        <m:r>
          <w:rPr>
            <w:rFonts w:ascii="Cambria Math" w:hAnsi="Cambria Math" w:cs="Calibri"/>
            <w:color w:val="000000" w:themeColor="text1"/>
          </w:rPr>
          <m:t>&lt;0.1</m:t>
        </m:r>
      </m:oMath>
      <w:r w:rsidRPr="000118F9">
        <w:rPr>
          <w:rFonts w:cs="Calibri"/>
          <w:color w:val="000000" w:themeColor="text1"/>
        </w:rPr>
        <w:t>); conditional R</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2</m:t>
            </m:r>
          </m:sup>
        </m:sSup>
      </m:oMath>
      <w:r w:rsidRPr="000118F9">
        <w:rPr>
          <w:rFonts w:cs="Calibri"/>
          <w:color w:val="000000" w:themeColor="text1"/>
        </w:rPr>
        <w:t xml:space="preserve"> values ranged from 0.49 to 0.64 (Table </w:t>
      </w:r>
      <w:hyperlink w:anchor="ForbSurv_ModResults">
        <w:r w:rsidR="0017335D">
          <w:rPr>
            <w:rStyle w:val="Hyperlink"/>
            <w:rFonts w:cs="Calibri"/>
            <w:color w:val="000000" w:themeColor="text1"/>
          </w:rPr>
          <w:t>3</w:t>
        </w:r>
      </w:hyperlink>
      <w:r w:rsidRPr="000118F9">
        <w:rPr>
          <w:rFonts w:cs="Calibri"/>
          <w:color w:val="000000" w:themeColor="text1"/>
        </w:rPr>
        <w:t>).</w:t>
      </w:r>
    </w:p>
    <w:p w14:paraId="60535369" w14:textId="77777777" w:rsidR="00C21B31" w:rsidRDefault="00B04E25" w:rsidP="0017335D">
      <w:pPr>
        <w:pStyle w:val="BodyText"/>
        <w:spacing w:line="480" w:lineRule="auto"/>
        <w:rPr>
          <w:rFonts w:cs="Calibri"/>
          <w:color w:val="000000" w:themeColor="text1"/>
        </w:rPr>
      </w:pPr>
      <w:r w:rsidRPr="000118F9">
        <w:rPr>
          <w:rFonts w:cs="Calibri"/>
          <w:color w:val="000000" w:themeColor="text1"/>
        </w:rPr>
        <w:lastRenderedPageBreak/>
        <w:t>Models of plant survival for forbs indicated that survival is affected by a significant interaction between SPEI and LDMC (</w:t>
      </w:r>
      <m:oMath>
        <m:sSub>
          <m:sSubPr>
            <m:ctrlPr>
              <w:rPr>
                <w:rFonts w:ascii="Cambria Math" w:hAnsi="Cambria Math" w:cs="Calibr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6</m:t>
            </m:r>
          </m:sub>
        </m:sSub>
        <m:r>
          <w:rPr>
            <w:rFonts w:ascii="Cambria Math" w:hAnsi="Cambria Math" w:cs="Calibri"/>
            <w:color w:val="000000" w:themeColor="text1"/>
          </w:rPr>
          <m:t>=</m:t>
        </m:r>
      </m:oMath>
      <w:r w:rsidRPr="000118F9">
        <w:rPr>
          <w:rFonts w:cs="Calibri"/>
          <w:color w:val="000000" w:themeColor="text1"/>
        </w:rPr>
        <w:t xml:space="preserve">-0.38, </w:t>
      </w:r>
      <w:r w:rsidRPr="000118F9">
        <w:rPr>
          <w:rFonts w:cs="Calibri"/>
          <w:i/>
          <w:color w:val="000000" w:themeColor="text1"/>
        </w:rPr>
        <w:t>P</w:t>
      </w:r>
      <w:r w:rsidRPr="000118F9">
        <w:rPr>
          <w:rFonts w:cs="Calibri"/>
          <w:color w:val="000000" w:themeColor="text1"/>
        </w:rPr>
        <w:t xml:space="preserve"> </w:t>
      </w:r>
      <m:oMath>
        <m:r>
          <w:rPr>
            <w:rFonts w:ascii="Cambria Math" w:hAnsi="Cambria Math" w:cs="Calibri"/>
            <w:color w:val="000000" w:themeColor="text1"/>
          </w:rPr>
          <m:t>&lt;</m:t>
        </m:r>
      </m:oMath>
      <w:r w:rsidRPr="000118F9">
        <w:rPr>
          <w:rFonts w:cs="Calibri"/>
          <w:color w:val="000000" w:themeColor="text1"/>
        </w:rPr>
        <w:t>0.01), RDMC (</w:t>
      </w:r>
      <m:oMath>
        <m:sSub>
          <m:sSubPr>
            <m:ctrlPr>
              <w:rPr>
                <w:rFonts w:ascii="Cambria Math" w:hAnsi="Cambria Math" w:cs="Calibr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6</m:t>
            </m:r>
          </m:sub>
        </m:sSub>
        <m:r>
          <w:rPr>
            <w:rFonts w:ascii="Cambria Math" w:hAnsi="Cambria Math" w:cs="Calibri"/>
            <w:color w:val="000000" w:themeColor="text1"/>
          </w:rPr>
          <m:t>=</m:t>
        </m:r>
      </m:oMath>
      <w:r w:rsidRPr="000118F9">
        <w:rPr>
          <w:rFonts w:cs="Calibri"/>
          <w:color w:val="000000" w:themeColor="text1"/>
        </w:rPr>
        <w:t xml:space="preserve">-0.31, </w:t>
      </w:r>
      <w:r w:rsidRPr="000118F9">
        <w:rPr>
          <w:rFonts w:cs="Calibri"/>
          <w:i/>
          <w:color w:val="000000" w:themeColor="text1"/>
        </w:rPr>
        <w:t>P</w:t>
      </w:r>
      <w:r w:rsidRPr="000118F9">
        <w:rPr>
          <w:rFonts w:cs="Calibri"/>
          <w:color w:val="000000" w:themeColor="text1"/>
        </w:rPr>
        <w:t xml:space="preserve"> </w:t>
      </w:r>
      <m:oMath>
        <m:r>
          <w:rPr>
            <w:rFonts w:ascii="Cambria Math" w:hAnsi="Cambria Math" w:cs="Calibri"/>
            <w:color w:val="000000" w:themeColor="text1"/>
          </w:rPr>
          <m:t>&lt;</m:t>
        </m:r>
      </m:oMath>
      <w:r w:rsidRPr="000118F9">
        <w:rPr>
          <w:rFonts w:cs="Calibri"/>
          <w:color w:val="000000" w:themeColor="text1"/>
        </w:rPr>
        <w:t>0.05), SLA (</w:t>
      </w:r>
      <m:oMath>
        <m:sSub>
          <m:sSubPr>
            <m:ctrlPr>
              <w:rPr>
                <w:rFonts w:ascii="Cambria Math" w:hAnsi="Cambria Math" w:cs="Calibr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6</m:t>
            </m:r>
          </m:sub>
        </m:sSub>
        <m:r>
          <w:rPr>
            <w:rFonts w:ascii="Cambria Math" w:hAnsi="Cambria Math" w:cs="Calibri"/>
            <w:color w:val="000000" w:themeColor="text1"/>
          </w:rPr>
          <m:t>=</m:t>
        </m:r>
      </m:oMath>
      <w:r w:rsidRPr="000118F9">
        <w:rPr>
          <w:rFonts w:cs="Calibri"/>
          <w:color w:val="000000" w:themeColor="text1"/>
        </w:rPr>
        <w:t xml:space="preserve">0.57, </w:t>
      </w:r>
      <w:r w:rsidRPr="000118F9">
        <w:rPr>
          <w:rFonts w:cs="Calibri"/>
          <w:i/>
          <w:color w:val="000000" w:themeColor="text1"/>
        </w:rPr>
        <w:t>P</w:t>
      </w:r>
      <w:r w:rsidRPr="000118F9">
        <w:rPr>
          <w:rFonts w:cs="Calibri"/>
          <w:color w:val="000000" w:themeColor="text1"/>
        </w:rPr>
        <w:t xml:space="preserve"> </w:t>
      </w:r>
      <m:oMath>
        <m:r>
          <w:rPr>
            <w:rFonts w:ascii="Cambria Math" w:hAnsi="Cambria Math" w:cs="Calibri"/>
            <w:color w:val="000000" w:themeColor="text1"/>
          </w:rPr>
          <m:t>&lt;</m:t>
        </m:r>
      </m:oMath>
      <w:r w:rsidRPr="000118F9">
        <w:rPr>
          <w:rFonts w:cs="Calibri"/>
          <w:color w:val="000000" w:themeColor="text1"/>
        </w:rPr>
        <w:t>0.05), and RTD (</w:t>
      </w:r>
      <m:oMath>
        <m:sSub>
          <m:sSubPr>
            <m:ctrlPr>
              <w:rPr>
                <w:rFonts w:ascii="Cambria Math" w:hAnsi="Cambria Math" w:cs="Calibr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6</m:t>
            </m:r>
          </m:sub>
        </m:sSub>
        <m:r>
          <w:rPr>
            <w:rFonts w:ascii="Cambria Math" w:hAnsi="Cambria Math" w:cs="Calibri"/>
            <w:color w:val="000000" w:themeColor="text1"/>
          </w:rPr>
          <m:t>=</m:t>
        </m:r>
      </m:oMath>
      <w:r w:rsidRPr="000118F9">
        <w:rPr>
          <w:rFonts w:cs="Calibri"/>
          <w:color w:val="000000" w:themeColor="text1"/>
        </w:rPr>
        <w:t xml:space="preserve">-0.27, </w:t>
      </w:r>
      <w:r w:rsidRPr="000118F9">
        <w:rPr>
          <w:rFonts w:cs="Calibri"/>
          <w:i/>
          <w:color w:val="000000" w:themeColor="text1"/>
        </w:rPr>
        <w:t>P</w:t>
      </w:r>
      <w:r w:rsidRPr="000118F9">
        <w:rPr>
          <w:rFonts w:cs="Calibri"/>
          <w:color w:val="000000" w:themeColor="text1"/>
        </w:rPr>
        <w:t xml:space="preserve"> </w:t>
      </w:r>
      <m:oMath>
        <m:r>
          <w:rPr>
            <w:rFonts w:ascii="Cambria Math" w:hAnsi="Cambria Math" w:cs="Calibri"/>
            <w:color w:val="000000" w:themeColor="text1"/>
          </w:rPr>
          <m:t>&lt;</m:t>
        </m:r>
      </m:oMath>
      <w:r w:rsidRPr="000118F9">
        <w:rPr>
          <w:rFonts w:cs="Calibri"/>
          <w:color w:val="000000" w:themeColor="text1"/>
        </w:rPr>
        <w:t xml:space="preserve">0.05) (Table </w:t>
      </w:r>
      <w:hyperlink w:anchor="ForbSurv_ModResults">
        <w:r w:rsidR="0017335D">
          <w:rPr>
            <w:rStyle w:val="Hyperlink"/>
            <w:rFonts w:cs="Calibri"/>
            <w:color w:val="000000" w:themeColor="text1"/>
          </w:rPr>
          <w:t>3</w:t>
        </w:r>
      </w:hyperlink>
      <w:r w:rsidRPr="000118F9">
        <w:rPr>
          <w:rFonts w:cs="Calibri"/>
          <w:color w:val="000000" w:themeColor="text1"/>
        </w:rPr>
        <w:t xml:space="preserve">), (Fig. </w:t>
      </w:r>
      <w:hyperlink w:anchor="fig:PredsObs">
        <w:r w:rsidRPr="000118F9">
          <w:rPr>
            <w:rStyle w:val="Hyperlink"/>
            <w:rFonts w:cs="Calibri"/>
            <w:color w:val="000000" w:themeColor="text1"/>
          </w:rPr>
          <w:t>4</w:t>
        </w:r>
      </w:hyperlink>
      <w:r w:rsidRPr="000118F9">
        <w:rPr>
          <w:rFonts w:cs="Calibri"/>
          <w:color w:val="000000" w:themeColor="text1"/>
        </w:rPr>
        <w:t xml:space="preserve">: </w:t>
      </w:r>
      <w:r w:rsidRPr="000118F9">
        <w:rPr>
          <w:rFonts w:cs="Calibri"/>
          <w:b/>
          <w:color w:val="000000" w:themeColor="text1"/>
        </w:rPr>
        <w:t>C</w:t>
      </w:r>
      <w:r w:rsidRPr="000118F9">
        <w:rPr>
          <w:rFonts w:cs="Calibri"/>
          <w:color w:val="000000" w:themeColor="text1"/>
        </w:rPr>
        <w:t xml:space="preserve">, </w:t>
      </w:r>
      <w:r w:rsidRPr="000118F9">
        <w:rPr>
          <w:rFonts w:cs="Calibri"/>
          <w:b/>
          <w:color w:val="000000" w:themeColor="text1"/>
        </w:rPr>
        <w:t>F</w:t>
      </w:r>
      <w:r w:rsidRPr="000118F9">
        <w:rPr>
          <w:rFonts w:cs="Calibri"/>
          <w:color w:val="000000" w:themeColor="text1"/>
        </w:rPr>
        <w:t xml:space="preserve">, </w:t>
      </w:r>
      <w:r w:rsidRPr="000118F9">
        <w:rPr>
          <w:rFonts w:cs="Calibri"/>
          <w:b/>
          <w:color w:val="000000" w:themeColor="text1"/>
        </w:rPr>
        <w:t>I</w:t>
      </w:r>
      <w:r w:rsidRPr="000118F9">
        <w:rPr>
          <w:rFonts w:cs="Calibri"/>
          <w:color w:val="000000" w:themeColor="text1"/>
        </w:rPr>
        <w:t xml:space="preserve">, </w:t>
      </w:r>
      <w:r w:rsidRPr="000118F9">
        <w:rPr>
          <w:rFonts w:cs="Calibri"/>
          <w:b/>
          <w:color w:val="000000" w:themeColor="text1"/>
        </w:rPr>
        <w:t>L</w:t>
      </w:r>
      <w:r w:rsidRPr="000118F9">
        <w:rPr>
          <w:rFonts w:cs="Calibri"/>
          <w:color w:val="000000" w:themeColor="text1"/>
        </w:rPr>
        <w:t xml:space="preserve"> and </w:t>
      </w:r>
      <w:r w:rsidRPr="000118F9">
        <w:rPr>
          <w:rFonts w:cs="Calibri"/>
          <w:b/>
          <w:color w:val="000000" w:themeColor="text1"/>
        </w:rPr>
        <w:t>O</w:t>
      </w:r>
      <w:r w:rsidRPr="000118F9">
        <w:rPr>
          <w:rFonts w:cs="Calibri"/>
          <w:color w:val="000000" w:themeColor="text1"/>
        </w:rPr>
        <w:t xml:space="preserve">). In dry years, survival was higher for species with lower leaf TLP and species with high LDMC and RDMC. In wet years, survival was higher for species with high TLP and low LDMC and RDMC; however species with low TLP and high LDMC and RDMC had lower survival probability in wet years than in dry years. These patterns are consistent with those observed for graminoid survival. The interaction between SLA and SPEI for forb survival, however, was different than the pattern observed in graminoids. Low SLA species had high survival in dry years and low survival in wet years, where a strongly opposite pattern occurred for high SLA species. The uncertainty in these estimates was much larger for forb survival models than graminoid models, as illustrated by the 95% confidence intervals (Fig. </w:t>
      </w:r>
      <w:hyperlink w:anchor="fig:PredsObs">
        <w:r w:rsidRPr="000118F9">
          <w:rPr>
            <w:rStyle w:val="Hyperlink"/>
            <w:rFonts w:cs="Calibri"/>
            <w:color w:val="000000" w:themeColor="text1"/>
          </w:rPr>
          <w:t>4</w:t>
        </w:r>
      </w:hyperlink>
      <w:r w:rsidRPr="000118F9">
        <w:rPr>
          <w:rFonts w:cs="Calibri"/>
          <w:color w:val="000000" w:themeColor="text1"/>
        </w:rPr>
        <w:t xml:space="preserve">; Fig. </w:t>
      </w:r>
      <w:hyperlink w:anchor="fig:GramSurv_all">
        <w:r w:rsidRPr="000118F9">
          <w:rPr>
            <w:rStyle w:val="Hyperlink"/>
            <w:rFonts w:cs="Calibri"/>
            <w:color w:val="000000" w:themeColor="text1"/>
          </w:rPr>
          <w:t>5</w:t>
        </w:r>
      </w:hyperlink>
      <w:r w:rsidRPr="000118F9">
        <w:rPr>
          <w:rFonts w:cs="Calibri"/>
          <w:color w:val="000000" w:themeColor="text1"/>
        </w:rPr>
        <w:t xml:space="preserve">). </w:t>
      </w:r>
      <m:oMath>
        <m:r>
          <w:rPr>
            <w:rFonts w:ascii="Cambria Math" w:hAnsi="Cambria Math" w:cs="Calibri"/>
            <w:color w:val="000000" w:themeColor="text1"/>
          </w:rPr>
          <m:t>Δ</m:t>
        </m:r>
      </m:oMath>
      <w:r w:rsidRPr="000118F9">
        <w:rPr>
          <w:rFonts w:cs="Calibri"/>
          <w:color w:val="000000" w:themeColor="text1"/>
        </w:rPr>
        <w:t xml:space="preserve"> AIC values were highest for models with LDMC, RDMC, and SLA, which indicated that including coefficients for trait and trait-by-SPEI interactions for those traits improved our ability to predict how survival probability changes across a gradient of SPEI (Table </w:t>
      </w:r>
      <w:hyperlink w:anchor="ForbSurv_ModResults">
        <w:r w:rsidR="0017335D">
          <w:rPr>
            <w:rStyle w:val="Hyperlink"/>
            <w:rFonts w:cs="Calibri"/>
            <w:color w:val="000000" w:themeColor="text1"/>
          </w:rPr>
          <w:t>3</w:t>
        </w:r>
      </w:hyperlink>
      <w:r w:rsidRPr="000118F9">
        <w:rPr>
          <w:rFonts w:cs="Calibri"/>
          <w:color w:val="000000" w:themeColor="text1"/>
        </w:rPr>
        <w:t>).</w:t>
      </w:r>
    </w:p>
    <w:p w14:paraId="38F15F26" w14:textId="61637D7A" w:rsidR="002639F7" w:rsidRDefault="00C21B31" w:rsidP="0017335D">
      <w:pPr>
        <w:pStyle w:val="BodyText"/>
        <w:spacing w:line="480" w:lineRule="auto"/>
        <w:rPr>
          <w:rFonts w:cs="Calibri"/>
          <w:color w:val="000000" w:themeColor="text1"/>
        </w:rPr>
      </w:pPr>
      <w:r>
        <w:rPr>
          <w:rFonts w:cs="Calibri"/>
          <w:noProof/>
          <w:color w:val="000000" w:themeColor="text1"/>
        </w:rPr>
        <w:lastRenderedPageBreak/>
        <w:drawing>
          <wp:inline distT="0" distB="0" distL="0" distR="0" wp14:anchorId="40D1A7EF" wp14:editId="60404943">
            <wp:extent cx="5943600" cy="433895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4338955"/>
                    </a:xfrm>
                    <a:prstGeom prst="rect">
                      <a:avLst/>
                    </a:prstGeom>
                  </pic:spPr>
                </pic:pic>
              </a:graphicData>
            </a:graphic>
          </wp:inline>
        </w:drawing>
      </w:r>
      <w:r>
        <w:rPr>
          <w:rFonts w:cs="Calibri"/>
          <w:noProof/>
          <w:color w:val="000000" w:themeColor="text1"/>
        </w:rPr>
        <w:lastRenderedPageBreak/>
        <w:drawing>
          <wp:inline distT="0" distB="0" distL="0" distR="0" wp14:anchorId="433C1395" wp14:editId="6E6F901D">
            <wp:extent cx="5943600" cy="449961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499610"/>
                    </a:xfrm>
                    <a:prstGeom prst="rect">
                      <a:avLst/>
                    </a:prstGeom>
                  </pic:spPr>
                </pic:pic>
              </a:graphicData>
            </a:graphic>
          </wp:inline>
        </w:drawing>
      </w:r>
    </w:p>
    <w:p w14:paraId="61B77F47" w14:textId="4127246A" w:rsidR="00C21B31" w:rsidRPr="000118F9" w:rsidRDefault="00C21B31" w:rsidP="00C21B31">
      <w:pPr>
        <w:pStyle w:val="BodyText"/>
        <w:tabs>
          <w:tab w:val="left" w:pos="7200"/>
        </w:tabs>
        <w:spacing w:line="480" w:lineRule="auto"/>
        <w:rPr>
          <w:rFonts w:cs="Calibri"/>
          <w:color w:val="000000" w:themeColor="text1"/>
        </w:rPr>
      </w:pPr>
      <w:r>
        <w:rPr>
          <w:rFonts w:cs="Calibri"/>
          <w:noProof/>
          <w:color w:val="000000" w:themeColor="text1"/>
        </w:rPr>
        <w:lastRenderedPageBreak/>
        <w:drawing>
          <wp:inline distT="0" distB="0" distL="0" distR="0" wp14:anchorId="15ACCFE6" wp14:editId="16E3F420">
            <wp:extent cx="5943600" cy="4160520"/>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4160520"/>
                    </a:xfrm>
                    <a:prstGeom prst="rect">
                      <a:avLst/>
                    </a:prstGeom>
                  </pic:spPr>
                </pic:pic>
              </a:graphicData>
            </a:graphic>
          </wp:inline>
        </w:drawing>
      </w:r>
      <w:r>
        <w:rPr>
          <w:rFonts w:cs="Calibri"/>
          <w:color w:val="000000" w:themeColor="text1"/>
        </w:rPr>
        <w:tab/>
      </w:r>
    </w:p>
    <w:p w14:paraId="1EDBFB64" w14:textId="77777777" w:rsidR="002639F7" w:rsidRPr="0017335D" w:rsidRDefault="00B04E25">
      <w:pPr>
        <w:pStyle w:val="CaptionedFigure"/>
        <w:rPr>
          <w:rFonts w:cs="Calibri"/>
          <w:iCs/>
          <w:color w:val="000000" w:themeColor="text1"/>
        </w:rPr>
      </w:pPr>
      <w:bookmarkStart w:id="11" w:name="fig:Effects_Survival"/>
      <w:r w:rsidRPr="0017335D">
        <w:rPr>
          <w:rFonts w:cs="Calibri"/>
          <w:iCs/>
          <w:noProof/>
          <w:color w:val="000000" w:themeColor="text1"/>
        </w:rPr>
        <w:drawing>
          <wp:inline distT="0" distB="0" distL="0" distR="0" wp14:anchorId="4A23BE86" wp14:editId="5850F74A">
            <wp:extent cx="5334000" cy="1929516"/>
            <wp:effectExtent l="0" t="0" r="0" b="0"/>
            <wp:docPr id="2" name="Picture" descr="The effect of local neighborhood density (A) and size in year t (B) on graminoid survival in models using LDMC as the trait predictor. Across all graminoid species, higher crowding of an individual’s local neighborhood (10 cm radius) with individuals of the same species corresponds with lower survival probability (A), and larger individuals are more likely to survive to the next year than smaller individuals of the same species (B). Dark lines indicate the overall effect of each covariate on survival. The 95% confidence interval for the overall effect of conspecific local neighborhood competition is shown in light grey. Colored lines indicate the effect of competition or size for each species."/>
            <wp:cNvGraphicFramePr/>
            <a:graphic xmlns:a="http://schemas.openxmlformats.org/drawingml/2006/main">
              <a:graphicData uri="http://schemas.openxmlformats.org/drawingml/2006/picture">
                <pic:pic xmlns:pic="http://schemas.openxmlformats.org/drawingml/2006/picture">
                  <pic:nvPicPr>
                    <pic:cNvPr id="0" name="Picture" descr="survEffectPlots-1.pdf"/>
                    <pic:cNvPicPr>
                      <a:picLocks noChangeAspect="1" noChangeArrowheads="1"/>
                    </pic:cNvPicPr>
                  </pic:nvPicPr>
                  <pic:blipFill>
                    <a:blip r:embed="rId11"/>
                    <a:stretch>
                      <a:fillRect/>
                    </a:stretch>
                  </pic:blipFill>
                  <pic:spPr bwMode="auto">
                    <a:xfrm>
                      <a:off x="0" y="0"/>
                      <a:ext cx="5334000" cy="1929516"/>
                    </a:xfrm>
                    <a:prstGeom prst="rect">
                      <a:avLst/>
                    </a:prstGeom>
                    <a:noFill/>
                    <a:ln w="9525">
                      <a:noFill/>
                      <a:headEnd/>
                      <a:tailEnd/>
                    </a:ln>
                  </pic:spPr>
                </pic:pic>
              </a:graphicData>
            </a:graphic>
          </wp:inline>
        </w:drawing>
      </w:r>
      <w:bookmarkEnd w:id="11"/>
    </w:p>
    <w:p w14:paraId="7847E2D9" w14:textId="22427DDA" w:rsidR="002639F7" w:rsidRDefault="0017335D" w:rsidP="0017335D">
      <w:pPr>
        <w:pStyle w:val="ImageCaption"/>
        <w:spacing w:line="360" w:lineRule="auto"/>
        <w:rPr>
          <w:rFonts w:cs="Calibri"/>
          <w:i w:val="0"/>
          <w:iCs/>
          <w:color w:val="000000" w:themeColor="text1"/>
        </w:rPr>
      </w:pPr>
      <w:r w:rsidRPr="0017335D">
        <w:rPr>
          <w:rFonts w:cs="Calibri"/>
          <w:b/>
          <w:bCs/>
          <w:i w:val="0"/>
          <w:iCs/>
          <w:color w:val="000000" w:themeColor="text1"/>
        </w:rPr>
        <w:t xml:space="preserve">Figure 2. </w:t>
      </w:r>
      <w:r w:rsidR="00B04E25" w:rsidRPr="0017335D">
        <w:rPr>
          <w:rFonts w:cs="Calibri"/>
          <w:i w:val="0"/>
          <w:iCs/>
          <w:color w:val="000000" w:themeColor="text1"/>
        </w:rPr>
        <w:t>The effect of local neighborhood density (</w:t>
      </w:r>
      <w:r w:rsidR="00B04E25" w:rsidRPr="0017335D">
        <w:rPr>
          <w:rFonts w:cs="Calibri"/>
          <w:b/>
          <w:i w:val="0"/>
          <w:iCs/>
          <w:color w:val="000000" w:themeColor="text1"/>
        </w:rPr>
        <w:t>A</w:t>
      </w:r>
      <w:r w:rsidR="00B04E25" w:rsidRPr="0017335D">
        <w:rPr>
          <w:rFonts w:cs="Calibri"/>
          <w:i w:val="0"/>
          <w:iCs/>
          <w:color w:val="000000" w:themeColor="text1"/>
        </w:rPr>
        <w:t>) and size in year t (</w:t>
      </w:r>
      <w:r w:rsidR="00B04E25" w:rsidRPr="0017335D">
        <w:rPr>
          <w:rFonts w:cs="Calibri"/>
          <w:b/>
          <w:i w:val="0"/>
          <w:iCs/>
          <w:color w:val="000000" w:themeColor="text1"/>
        </w:rPr>
        <w:t>B</w:t>
      </w:r>
      <w:r w:rsidR="00B04E25" w:rsidRPr="0017335D">
        <w:rPr>
          <w:rFonts w:cs="Calibri"/>
          <w:i w:val="0"/>
          <w:iCs/>
          <w:color w:val="000000" w:themeColor="text1"/>
        </w:rPr>
        <w:t>) on graminoid survival in models using LDMC as the trait predictor. Across all graminoid species, higher crowding of an individual’s local neighborhood (10 cm radius) with individuals of the same species corresponds with lower survival probability (</w:t>
      </w:r>
      <w:r w:rsidR="00B04E25" w:rsidRPr="0017335D">
        <w:rPr>
          <w:rFonts w:cs="Calibri"/>
          <w:b/>
          <w:i w:val="0"/>
          <w:iCs/>
          <w:color w:val="000000" w:themeColor="text1"/>
        </w:rPr>
        <w:t>A</w:t>
      </w:r>
      <w:r w:rsidR="00B04E25" w:rsidRPr="0017335D">
        <w:rPr>
          <w:rFonts w:cs="Calibri"/>
          <w:i w:val="0"/>
          <w:iCs/>
          <w:color w:val="000000" w:themeColor="text1"/>
        </w:rPr>
        <w:t>), and larger individuals are more likely to survive to the next year than smaller individuals of the same species (</w:t>
      </w:r>
      <w:r w:rsidR="00B04E25" w:rsidRPr="0017335D">
        <w:rPr>
          <w:rFonts w:cs="Calibri"/>
          <w:b/>
          <w:i w:val="0"/>
          <w:iCs/>
          <w:color w:val="000000" w:themeColor="text1"/>
        </w:rPr>
        <w:t>B</w:t>
      </w:r>
      <w:r w:rsidR="00B04E25" w:rsidRPr="0017335D">
        <w:rPr>
          <w:rFonts w:cs="Calibri"/>
          <w:i w:val="0"/>
          <w:iCs/>
          <w:color w:val="000000" w:themeColor="text1"/>
        </w:rPr>
        <w:t xml:space="preserve">). Dark lines indicate the overall effect of each covariate on survival. The 95% confidence interval </w:t>
      </w:r>
      <w:r w:rsidR="00B04E25" w:rsidRPr="0017335D">
        <w:rPr>
          <w:rFonts w:cs="Calibri"/>
          <w:i w:val="0"/>
          <w:iCs/>
          <w:color w:val="000000" w:themeColor="text1"/>
        </w:rPr>
        <w:lastRenderedPageBreak/>
        <w:t>for the overall effect of conspecific local neighborhood competition is shown in light grey. Colored lines indicate the effect of competition or size for each species.</w:t>
      </w:r>
    </w:p>
    <w:p w14:paraId="4248BBF0" w14:textId="77777777" w:rsidR="0017335D" w:rsidRPr="0017335D" w:rsidRDefault="0017335D">
      <w:pPr>
        <w:pStyle w:val="ImageCaption"/>
        <w:rPr>
          <w:rFonts w:cs="Calibri"/>
          <w:i w:val="0"/>
          <w:iCs/>
          <w:color w:val="000000" w:themeColor="text1"/>
        </w:rPr>
      </w:pPr>
    </w:p>
    <w:p w14:paraId="78D68F85" w14:textId="77777777" w:rsidR="002639F7" w:rsidRPr="0017335D" w:rsidRDefault="00B04E25">
      <w:pPr>
        <w:pStyle w:val="CaptionedFigure"/>
        <w:rPr>
          <w:rFonts w:cs="Calibri"/>
          <w:iCs/>
          <w:color w:val="000000" w:themeColor="text1"/>
        </w:rPr>
      </w:pPr>
      <w:bookmarkStart w:id="12" w:name="fig:Effects_Growth"/>
      <w:r w:rsidRPr="0017335D">
        <w:rPr>
          <w:rFonts w:cs="Calibri"/>
          <w:iCs/>
          <w:noProof/>
          <w:color w:val="000000" w:themeColor="text1"/>
        </w:rPr>
        <w:drawing>
          <wp:inline distT="0" distB="0" distL="0" distR="0" wp14:anchorId="352BBF34" wp14:editId="6A530840">
            <wp:extent cx="5334000" cy="1725461"/>
            <wp:effectExtent l="0" t="0" r="0" b="0"/>
            <wp:docPr id="3" name="Picture" descr="(A) shows the effect of local neighborhood density on graminoid size in year t+1 in models using TLP as the trait predictor. Across all graminoid species, higher crowding of an individual’s local neighborhood (10 cm radius) with individuals of the same species corresponds to smaller size_\textit{t+1}. (B) shows the effect of size in year t on size in year t+1 in models using TLP as the trait predictor. As size_\textit{t} increases, a plant is more likely to become larger in year t+1 until it reaches a mid-point in size_\textit{t}, at which it becomes less likely to grow larger in year _\textit{t+1}. (C) There is a positive linear relationship in the raw data between ln(size_{t}) and ln(size_{t+1}) for all eight graminoid species included in the growth analysis, although there is a size above which plants are more likely to shrink than grow in year t. The dashed lines in (B) and (C) indicate a 1:1 relationship between ln(size_\textit{t}) and ln(size_\textit{t+1}). Lines above the dashed line indicate growth, while lines below the dashed line indicate shrinkage. Dark lines indicate the overall effect of each covariate on survival. Colored lines indicate the effect The 95% confidence interval for the overall effect of conspecific local neighborhood competition is shown in light grey. Colored lines indicate the effects of competition or size for each species. "/>
            <wp:cNvGraphicFramePr/>
            <a:graphic xmlns:a="http://schemas.openxmlformats.org/drawingml/2006/main">
              <a:graphicData uri="http://schemas.openxmlformats.org/drawingml/2006/picture">
                <pic:pic xmlns:pic="http://schemas.openxmlformats.org/drawingml/2006/picture">
                  <pic:nvPicPr>
                    <pic:cNvPr id="0" name="Picture" descr="figures/growthEffectPlots-1.pdf"/>
                    <pic:cNvPicPr>
                      <a:picLocks noChangeAspect="1" noChangeArrowheads="1"/>
                    </pic:cNvPicPr>
                  </pic:nvPicPr>
                  <pic:blipFill>
                    <a:blip r:embed="rId12"/>
                    <a:stretch>
                      <a:fillRect/>
                    </a:stretch>
                  </pic:blipFill>
                  <pic:spPr bwMode="auto">
                    <a:xfrm>
                      <a:off x="0" y="0"/>
                      <a:ext cx="5334000" cy="1725461"/>
                    </a:xfrm>
                    <a:prstGeom prst="rect">
                      <a:avLst/>
                    </a:prstGeom>
                    <a:noFill/>
                    <a:ln w="9525">
                      <a:noFill/>
                      <a:headEnd/>
                      <a:tailEnd/>
                    </a:ln>
                  </pic:spPr>
                </pic:pic>
              </a:graphicData>
            </a:graphic>
          </wp:inline>
        </w:drawing>
      </w:r>
      <w:bookmarkEnd w:id="12"/>
    </w:p>
    <w:p w14:paraId="5A4CE8B6" w14:textId="6864C996" w:rsidR="002639F7" w:rsidRDefault="0017335D" w:rsidP="0017335D">
      <w:pPr>
        <w:pStyle w:val="ImageCaption"/>
        <w:spacing w:line="360" w:lineRule="auto"/>
        <w:rPr>
          <w:rFonts w:cs="Calibri"/>
          <w:i w:val="0"/>
          <w:iCs/>
          <w:color w:val="000000" w:themeColor="text1"/>
        </w:rPr>
      </w:pPr>
      <w:r w:rsidRPr="0017335D">
        <w:rPr>
          <w:rFonts w:cs="Calibri"/>
          <w:b/>
          <w:bCs/>
          <w:i w:val="0"/>
          <w:iCs/>
          <w:color w:val="000000" w:themeColor="text1"/>
        </w:rPr>
        <w:t>Figure 3</w:t>
      </w:r>
      <w:r w:rsidRPr="0017335D">
        <w:rPr>
          <w:rFonts w:cs="Calibri"/>
          <w:i w:val="0"/>
          <w:iCs/>
          <w:color w:val="000000" w:themeColor="text1"/>
        </w:rPr>
        <w:t xml:space="preserve">. </w:t>
      </w:r>
      <w:r w:rsidR="00B04E25" w:rsidRPr="0017335D">
        <w:rPr>
          <w:rFonts w:cs="Calibri"/>
          <w:i w:val="0"/>
          <w:iCs/>
          <w:color w:val="000000" w:themeColor="text1"/>
        </w:rPr>
        <w:t>(</w:t>
      </w:r>
      <w:r w:rsidR="00B04E25" w:rsidRPr="0017335D">
        <w:rPr>
          <w:rFonts w:cs="Calibri"/>
          <w:b/>
          <w:i w:val="0"/>
          <w:iCs/>
          <w:color w:val="000000" w:themeColor="text1"/>
        </w:rPr>
        <w:t>A</w:t>
      </w:r>
      <w:r w:rsidR="00B04E25" w:rsidRPr="0017335D">
        <w:rPr>
          <w:rFonts w:cs="Calibri"/>
          <w:i w:val="0"/>
          <w:iCs/>
          <w:color w:val="000000" w:themeColor="text1"/>
        </w:rPr>
        <w:t>) shows the effect of local neighborhood density on graminoid size in year t+1 in models using TLP as the trait predictor. Across all graminoid species, higher crowding of an individual’s local neighborhood (10 cm radius) with individuals of the same species corresponds to smaller size</w:t>
      </w:r>
      <m:oMath>
        <m:sSub>
          <m:sSubPr>
            <m:ctrlPr>
              <w:rPr>
                <w:rFonts w:ascii="Cambria Math" w:hAnsi="Cambria Math" w:cs="Calibri"/>
                <w:i w:val="0"/>
                <w:iCs/>
                <w:color w:val="000000" w:themeColor="text1"/>
              </w:rPr>
            </m:ctrlPr>
          </m:sSubPr>
          <m:e>
            <m:r>
              <m:rPr>
                <m:sty m:val="p"/>
              </m:rPr>
              <w:rPr>
                <w:rFonts w:ascii="Cambria Math" w:hAnsi="Cambria Math" w:cs="Calibri"/>
                <w:color w:val="000000" w:themeColor="text1"/>
              </w:rPr>
              <m:t>​</m:t>
            </m:r>
          </m:e>
          <m:sub>
            <m:r>
              <m:rPr>
                <m:nor/>
              </m:rPr>
              <w:rPr>
                <w:rFonts w:cs="Calibri"/>
                <w:i w:val="0"/>
                <w:iCs/>
                <w:color w:val="000000" w:themeColor="text1"/>
              </w:rPr>
              <m:t>t+1</m:t>
            </m:r>
          </m:sub>
        </m:sSub>
      </m:oMath>
      <w:r w:rsidR="00B04E25" w:rsidRPr="0017335D">
        <w:rPr>
          <w:rFonts w:cs="Calibri"/>
          <w:i w:val="0"/>
          <w:iCs/>
          <w:color w:val="000000" w:themeColor="text1"/>
        </w:rPr>
        <w:t>. (</w:t>
      </w:r>
      <w:r w:rsidR="00B04E25" w:rsidRPr="0017335D">
        <w:rPr>
          <w:rFonts w:cs="Calibri"/>
          <w:b/>
          <w:i w:val="0"/>
          <w:iCs/>
          <w:color w:val="000000" w:themeColor="text1"/>
        </w:rPr>
        <w:t>B</w:t>
      </w:r>
      <w:r w:rsidR="00B04E25" w:rsidRPr="0017335D">
        <w:rPr>
          <w:rFonts w:cs="Calibri"/>
          <w:i w:val="0"/>
          <w:iCs/>
          <w:color w:val="000000" w:themeColor="text1"/>
        </w:rPr>
        <w:t>) shows the effect of size in year t on size in year t+1 in models using TLP as the trait predictor. As size</w:t>
      </w:r>
      <m:oMath>
        <m:sSub>
          <m:sSubPr>
            <m:ctrlPr>
              <w:rPr>
                <w:rFonts w:ascii="Cambria Math" w:hAnsi="Cambria Math" w:cs="Calibri"/>
                <w:i w:val="0"/>
                <w:iCs/>
                <w:color w:val="000000" w:themeColor="text1"/>
              </w:rPr>
            </m:ctrlPr>
          </m:sSubPr>
          <m:e>
            <m:r>
              <m:rPr>
                <m:sty m:val="p"/>
              </m:rPr>
              <w:rPr>
                <w:rFonts w:ascii="Cambria Math" w:hAnsi="Cambria Math" w:cs="Calibri"/>
                <w:color w:val="000000" w:themeColor="text1"/>
              </w:rPr>
              <m:t>​</m:t>
            </m:r>
          </m:e>
          <m:sub>
            <m:r>
              <m:rPr>
                <m:nor/>
              </m:rPr>
              <w:rPr>
                <w:rFonts w:cs="Calibri"/>
                <w:i w:val="0"/>
                <w:iCs/>
                <w:color w:val="000000" w:themeColor="text1"/>
              </w:rPr>
              <m:t>t</m:t>
            </m:r>
          </m:sub>
        </m:sSub>
      </m:oMath>
      <w:r w:rsidR="00B04E25" w:rsidRPr="0017335D">
        <w:rPr>
          <w:rFonts w:cs="Calibri"/>
          <w:i w:val="0"/>
          <w:iCs/>
          <w:color w:val="000000" w:themeColor="text1"/>
        </w:rPr>
        <w:t xml:space="preserve"> increases, a plant is more likely to become larger in year t+1 until it reaches a mid-point in size</w:t>
      </w:r>
      <m:oMath>
        <m:sSub>
          <m:sSubPr>
            <m:ctrlPr>
              <w:rPr>
                <w:rFonts w:ascii="Cambria Math" w:hAnsi="Cambria Math" w:cs="Calibri"/>
                <w:i w:val="0"/>
                <w:iCs/>
                <w:color w:val="000000" w:themeColor="text1"/>
              </w:rPr>
            </m:ctrlPr>
          </m:sSubPr>
          <m:e>
            <m:r>
              <m:rPr>
                <m:sty m:val="p"/>
              </m:rPr>
              <w:rPr>
                <w:rFonts w:ascii="Cambria Math" w:hAnsi="Cambria Math" w:cs="Calibri"/>
                <w:color w:val="000000" w:themeColor="text1"/>
              </w:rPr>
              <m:t>​</m:t>
            </m:r>
          </m:e>
          <m:sub>
            <m:r>
              <m:rPr>
                <m:nor/>
              </m:rPr>
              <w:rPr>
                <w:rFonts w:cs="Calibri"/>
                <w:i w:val="0"/>
                <w:iCs/>
                <w:color w:val="000000" w:themeColor="text1"/>
              </w:rPr>
              <m:t>t</m:t>
            </m:r>
          </m:sub>
        </m:sSub>
      </m:oMath>
      <w:r w:rsidR="00B04E25" w:rsidRPr="0017335D">
        <w:rPr>
          <w:rFonts w:cs="Calibri"/>
          <w:i w:val="0"/>
          <w:iCs/>
          <w:color w:val="000000" w:themeColor="text1"/>
        </w:rPr>
        <w:t xml:space="preserve">, at which it becomes less likely to grow larger in year </w:t>
      </w:r>
      <m:oMath>
        <m:sSub>
          <m:sSubPr>
            <m:ctrlPr>
              <w:rPr>
                <w:rFonts w:ascii="Cambria Math" w:hAnsi="Cambria Math" w:cs="Calibri"/>
                <w:i w:val="0"/>
                <w:iCs/>
                <w:color w:val="000000" w:themeColor="text1"/>
              </w:rPr>
            </m:ctrlPr>
          </m:sSubPr>
          <m:e>
            <m:r>
              <m:rPr>
                <m:sty m:val="p"/>
              </m:rPr>
              <w:rPr>
                <w:rFonts w:ascii="Cambria Math" w:hAnsi="Cambria Math" w:cs="Calibri"/>
                <w:color w:val="000000" w:themeColor="text1"/>
              </w:rPr>
              <m:t>​</m:t>
            </m:r>
          </m:e>
          <m:sub>
            <m:r>
              <m:rPr>
                <m:nor/>
              </m:rPr>
              <w:rPr>
                <w:rFonts w:cs="Calibri"/>
                <w:i w:val="0"/>
                <w:iCs/>
                <w:color w:val="000000" w:themeColor="text1"/>
              </w:rPr>
              <m:t>t+1</m:t>
            </m:r>
          </m:sub>
        </m:sSub>
      </m:oMath>
      <w:r w:rsidR="00B04E25" w:rsidRPr="0017335D">
        <w:rPr>
          <w:rFonts w:cs="Calibri"/>
          <w:i w:val="0"/>
          <w:iCs/>
          <w:color w:val="000000" w:themeColor="text1"/>
        </w:rPr>
        <w:t>. (</w:t>
      </w:r>
      <w:r w:rsidR="00B04E25" w:rsidRPr="0017335D">
        <w:rPr>
          <w:rFonts w:cs="Calibri"/>
          <w:b/>
          <w:i w:val="0"/>
          <w:iCs/>
          <w:color w:val="000000" w:themeColor="text1"/>
        </w:rPr>
        <w:t>C</w:t>
      </w:r>
      <w:r w:rsidR="00B04E25" w:rsidRPr="0017335D">
        <w:rPr>
          <w:rFonts w:cs="Calibri"/>
          <w:i w:val="0"/>
          <w:iCs/>
          <w:color w:val="000000" w:themeColor="text1"/>
        </w:rPr>
        <w:t>) There is a positive linear relationship in the raw data between ln(size</w:t>
      </w:r>
      <m:oMath>
        <m:sSub>
          <m:sSubPr>
            <m:ctrlPr>
              <w:rPr>
                <w:rFonts w:ascii="Cambria Math" w:hAnsi="Cambria Math" w:cs="Calibri"/>
                <w:i w:val="0"/>
                <w:iCs/>
                <w:color w:val="000000" w:themeColor="text1"/>
              </w:rPr>
            </m:ctrlPr>
          </m:sSubPr>
          <m:e>
            <m:r>
              <m:rPr>
                <m:sty m:val="p"/>
              </m:rPr>
              <w:rPr>
                <w:rFonts w:ascii="Cambria Math" w:hAnsi="Cambria Math" w:cs="Calibri"/>
                <w:color w:val="000000" w:themeColor="text1"/>
              </w:rPr>
              <m:t>​</m:t>
            </m:r>
          </m:e>
          <m:sub>
            <m:r>
              <m:rPr>
                <m:sty m:val="p"/>
              </m:rPr>
              <w:rPr>
                <w:rFonts w:ascii="Cambria Math" w:hAnsi="Cambria Math" w:cs="Calibri"/>
                <w:color w:val="000000" w:themeColor="text1"/>
              </w:rPr>
              <m:t>t</m:t>
            </m:r>
          </m:sub>
        </m:sSub>
      </m:oMath>
      <w:r w:rsidR="00B04E25" w:rsidRPr="0017335D">
        <w:rPr>
          <w:rFonts w:cs="Calibri"/>
          <w:i w:val="0"/>
          <w:iCs/>
          <w:color w:val="000000" w:themeColor="text1"/>
        </w:rPr>
        <w:t>) and ln(size</w:t>
      </w:r>
      <m:oMath>
        <m:sSub>
          <m:sSubPr>
            <m:ctrlPr>
              <w:rPr>
                <w:rFonts w:ascii="Cambria Math" w:hAnsi="Cambria Math" w:cs="Calibri"/>
                <w:i w:val="0"/>
                <w:iCs/>
                <w:color w:val="000000" w:themeColor="text1"/>
              </w:rPr>
            </m:ctrlPr>
          </m:sSubPr>
          <m:e>
            <m:r>
              <m:rPr>
                <m:sty m:val="p"/>
              </m:rPr>
              <w:rPr>
                <w:rFonts w:ascii="Cambria Math" w:hAnsi="Cambria Math" w:cs="Calibri"/>
                <w:color w:val="000000" w:themeColor="text1"/>
              </w:rPr>
              <m:t>​</m:t>
            </m:r>
          </m:e>
          <m:sub>
            <m:r>
              <m:rPr>
                <m:sty m:val="p"/>
              </m:rPr>
              <w:rPr>
                <w:rFonts w:ascii="Cambria Math" w:hAnsi="Cambria Math" w:cs="Calibri"/>
                <w:color w:val="000000" w:themeColor="text1"/>
              </w:rPr>
              <m:t>t+1</m:t>
            </m:r>
          </m:sub>
        </m:sSub>
      </m:oMath>
      <w:r w:rsidR="00B04E25" w:rsidRPr="0017335D">
        <w:rPr>
          <w:rFonts w:cs="Calibri"/>
          <w:i w:val="0"/>
          <w:iCs/>
          <w:color w:val="000000" w:themeColor="text1"/>
        </w:rPr>
        <w:t>) for all eight graminoid species included in the growth analysis, although there is a size above which plants are more likely to shrink than grow in year t. The dashed lines in (</w:t>
      </w:r>
      <w:r w:rsidR="00B04E25" w:rsidRPr="0017335D">
        <w:rPr>
          <w:rFonts w:cs="Calibri"/>
          <w:b/>
          <w:i w:val="0"/>
          <w:iCs/>
          <w:color w:val="000000" w:themeColor="text1"/>
        </w:rPr>
        <w:t>B</w:t>
      </w:r>
      <w:r w:rsidR="00B04E25" w:rsidRPr="0017335D">
        <w:rPr>
          <w:rFonts w:cs="Calibri"/>
          <w:i w:val="0"/>
          <w:iCs/>
          <w:color w:val="000000" w:themeColor="text1"/>
        </w:rPr>
        <w:t>) and (</w:t>
      </w:r>
      <w:r w:rsidR="00B04E25" w:rsidRPr="0017335D">
        <w:rPr>
          <w:rFonts w:cs="Calibri"/>
          <w:b/>
          <w:i w:val="0"/>
          <w:iCs/>
          <w:color w:val="000000" w:themeColor="text1"/>
        </w:rPr>
        <w:t>C</w:t>
      </w:r>
      <w:r w:rsidR="00B04E25" w:rsidRPr="0017335D">
        <w:rPr>
          <w:rFonts w:cs="Calibri"/>
          <w:i w:val="0"/>
          <w:iCs/>
          <w:color w:val="000000" w:themeColor="text1"/>
        </w:rPr>
        <w:t>) indicate a 1:1 relationship between ln(size</w:t>
      </w:r>
      <m:oMath>
        <m:sSub>
          <m:sSubPr>
            <m:ctrlPr>
              <w:rPr>
                <w:rFonts w:ascii="Cambria Math" w:hAnsi="Cambria Math" w:cs="Calibri"/>
                <w:i w:val="0"/>
                <w:iCs/>
                <w:color w:val="000000" w:themeColor="text1"/>
              </w:rPr>
            </m:ctrlPr>
          </m:sSubPr>
          <m:e>
            <m:r>
              <m:rPr>
                <m:sty m:val="p"/>
              </m:rPr>
              <w:rPr>
                <w:rFonts w:ascii="Cambria Math" w:hAnsi="Cambria Math" w:cs="Calibri"/>
                <w:color w:val="000000" w:themeColor="text1"/>
              </w:rPr>
              <m:t>​</m:t>
            </m:r>
          </m:e>
          <m:sub>
            <m:r>
              <m:rPr>
                <m:nor/>
              </m:rPr>
              <w:rPr>
                <w:rFonts w:cs="Calibri"/>
                <w:i w:val="0"/>
                <w:iCs/>
                <w:color w:val="000000" w:themeColor="text1"/>
              </w:rPr>
              <m:t>t</m:t>
            </m:r>
          </m:sub>
        </m:sSub>
      </m:oMath>
      <w:r w:rsidR="00B04E25" w:rsidRPr="0017335D">
        <w:rPr>
          <w:rFonts w:cs="Calibri"/>
          <w:i w:val="0"/>
          <w:iCs/>
          <w:color w:val="000000" w:themeColor="text1"/>
        </w:rPr>
        <w:t>) and ln(size</w:t>
      </w:r>
      <m:oMath>
        <m:sSub>
          <m:sSubPr>
            <m:ctrlPr>
              <w:rPr>
                <w:rFonts w:ascii="Cambria Math" w:hAnsi="Cambria Math" w:cs="Calibri"/>
                <w:i w:val="0"/>
                <w:iCs/>
                <w:color w:val="000000" w:themeColor="text1"/>
              </w:rPr>
            </m:ctrlPr>
          </m:sSubPr>
          <m:e>
            <m:r>
              <m:rPr>
                <m:sty m:val="p"/>
              </m:rPr>
              <w:rPr>
                <w:rFonts w:ascii="Cambria Math" w:hAnsi="Cambria Math" w:cs="Calibri"/>
                <w:color w:val="000000" w:themeColor="text1"/>
              </w:rPr>
              <m:t>​</m:t>
            </m:r>
          </m:e>
          <m:sub>
            <m:r>
              <m:rPr>
                <m:nor/>
              </m:rPr>
              <w:rPr>
                <w:rFonts w:cs="Calibri"/>
                <w:i w:val="0"/>
                <w:iCs/>
                <w:color w:val="000000" w:themeColor="text1"/>
              </w:rPr>
              <m:t>t+1</m:t>
            </m:r>
          </m:sub>
        </m:sSub>
      </m:oMath>
      <w:r w:rsidR="00B04E25" w:rsidRPr="0017335D">
        <w:rPr>
          <w:rFonts w:cs="Calibri"/>
          <w:i w:val="0"/>
          <w:iCs/>
          <w:color w:val="000000" w:themeColor="text1"/>
        </w:rPr>
        <w:t xml:space="preserve">). Lines above the dashed line indicate growth, while lines below the dashed line indicate shrinkage. Dark lines indicate the overall effect of each covariate on survival. Colored lines indicate the effect The 95% confidence interval for the overall effect of conspecific local neighborhood competition is shown in light grey. Colored lines indicate the effects of competition or size for each species. </w:t>
      </w:r>
    </w:p>
    <w:p w14:paraId="7D966C23" w14:textId="77777777" w:rsidR="0017335D" w:rsidRPr="0017335D" w:rsidRDefault="0017335D" w:rsidP="0017335D">
      <w:pPr>
        <w:pStyle w:val="ImageCaption"/>
        <w:spacing w:line="360" w:lineRule="auto"/>
        <w:rPr>
          <w:rFonts w:cs="Calibri"/>
          <w:i w:val="0"/>
          <w:iCs/>
          <w:color w:val="000000" w:themeColor="text1"/>
        </w:rPr>
      </w:pPr>
    </w:p>
    <w:p w14:paraId="538870A6" w14:textId="1944F780" w:rsidR="002639F7" w:rsidRDefault="00B04E25">
      <w:pPr>
        <w:pStyle w:val="Figure"/>
        <w:rPr>
          <w:rFonts w:cs="Calibri"/>
          <w:color w:val="000000" w:themeColor="text1"/>
        </w:rPr>
      </w:pPr>
      <w:bookmarkStart w:id="13" w:name="fig:PredsObs"/>
      <w:r w:rsidRPr="000118F9">
        <w:rPr>
          <w:rFonts w:cs="Calibri"/>
          <w:noProof/>
          <w:color w:val="000000" w:themeColor="text1"/>
        </w:rPr>
        <w:lastRenderedPageBreak/>
        <w:drawing>
          <wp:inline distT="0" distB="0" distL="0" distR="0" wp14:anchorId="0E7081B4" wp14:editId="0D2C92F0">
            <wp:extent cx="5334000" cy="525945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mainObservationsFig-1.pdf"/>
                    <pic:cNvPicPr>
                      <a:picLocks noChangeAspect="1" noChangeArrowheads="1"/>
                    </pic:cNvPicPr>
                  </pic:nvPicPr>
                  <pic:blipFill>
                    <a:blip r:embed="rId13"/>
                    <a:stretch>
                      <a:fillRect/>
                    </a:stretch>
                  </pic:blipFill>
                  <pic:spPr bwMode="auto">
                    <a:xfrm>
                      <a:off x="0" y="0"/>
                      <a:ext cx="5334000" cy="5259456"/>
                    </a:xfrm>
                    <a:prstGeom prst="rect">
                      <a:avLst/>
                    </a:prstGeom>
                    <a:noFill/>
                    <a:ln w="9525">
                      <a:noFill/>
                      <a:headEnd/>
                      <a:tailEnd/>
                    </a:ln>
                  </pic:spPr>
                </pic:pic>
              </a:graphicData>
            </a:graphic>
          </wp:inline>
        </w:drawing>
      </w:r>
      <w:bookmarkEnd w:id="13"/>
    </w:p>
    <w:p w14:paraId="081043E3" w14:textId="0E980022" w:rsidR="00DE178C" w:rsidRDefault="0017335D" w:rsidP="00DE178C">
      <w:pPr>
        <w:spacing w:line="360" w:lineRule="auto"/>
        <w:contextualSpacing/>
      </w:pPr>
      <w:r w:rsidRPr="00E159E2">
        <w:rPr>
          <w:b/>
          <w:bCs/>
        </w:rPr>
        <w:t>Figure 4</w:t>
      </w:r>
      <w:r w:rsidRPr="00DE178C">
        <w:t>:  (</w:t>
      </w:r>
      <w:r w:rsidRPr="00DE178C">
        <w:rPr>
          <w:b/>
          <w:bCs/>
        </w:rPr>
        <w:t>A</w:t>
      </w:r>
      <w:r w:rsidRPr="00DE178C">
        <w:t>) Graminoid species are more likely to survive in dry years (low SPEI, orange line) if they have</w:t>
      </w:r>
      <w:r w:rsidR="00DE178C" w:rsidRPr="00DE178C">
        <w:t xml:space="preserve"> </w:t>
      </w:r>
      <w:r w:rsidRPr="00DE178C">
        <w:t>a low TLP than if they have high TLP, while species with a high TLP are slightly more likely to survive</w:t>
      </w:r>
      <w:r w:rsidR="00DE178C" w:rsidRPr="00DE178C">
        <w:t xml:space="preserve"> </w:t>
      </w:r>
      <w:r w:rsidRPr="00DE178C">
        <w:t>in wet years (high SPEI, green line).  (</w:t>
      </w:r>
      <w:r w:rsidRPr="00DE178C">
        <w:rPr>
          <w:b/>
          <w:bCs/>
        </w:rPr>
        <w:t>D</w:t>
      </w:r>
      <w:r w:rsidRPr="00DE178C">
        <w:t>) A similar trend in graminoid survival probability is predicted by</w:t>
      </w:r>
      <w:r w:rsidR="00DE178C" w:rsidRPr="00DE178C">
        <w:t xml:space="preserve"> </w:t>
      </w:r>
      <w:r w:rsidRPr="00DE178C">
        <w:t>the model that includes LDMC. (</w:t>
      </w:r>
      <w:r w:rsidRPr="00DE178C">
        <w:rPr>
          <w:b/>
          <w:bCs/>
        </w:rPr>
        <w:t>G</w:t>
      </w:r>
      <w:r w:rsidRPr="00DE178C">
        <w:t>) A similar trend to LDMC exists for graminoid survival probability as</w:t>
      </w:r>
      <w:r w:rsidR="00DE178C" w:rsidRPr="00DE178C">
        <w:t xml:space="preserve"> </w:t>
      </w:r>
      <w:r w:rsidRPr="00DE178C">
        <w:t>predicted by the interaction between RDMC and SPEI. (</w:t>
      </w:r>
      <w:r w:rsidRPr="00DE178C">
        <w:rPr>
          <w:b/>
          <w:bCs/>
        </w:rPr>
        <w:t>J</w:t>
      </w:r>
      <w:r w:rsidRPr="00DE178C">
        <w:t xml:space="preserve">) There is a significant interaction between </w:t>
      </w:r>
      <w:proofErr w:type="spellStart"/>
      <w:r w:rsidRPr="00DE178C">
        <w:t>RDiam</w:t>
      </w:r>
      <w:proofErr w:type="spellEnd"/>
      <w:r w:rsidR="00DE178C" w:rsidRPr="00DE178C">
        <w:t xml:space="preserve"> </w:t>
      </w:r>
      <w:r w:rsidRPr="00DE178C">
        <w:t xml:space="preserve">and SPEI, but including </w:t>
      </w:r>
      <w:proofErr w:type="spellStart"/>
      <w:r w:rsidRPr="00DE178C">
        <w:t>RDiam</w:t>
      </w:r>
      <w:proofErr w:type="spellEnd"/>
      <w:r w:rsidRPr="00DE178C">
        <w:t xml:space="preserve"> does not greatly improve model fit in comparison to a model without trait</w:t>
      </w:r>
      <w:r w:rsidR="00DE178C" w:rsidRPr="00DE178C">
        <w:t xml:space="preserve"> </w:t>
      </w:r>
      <w:r w:rsidRPr="00DE178C">
        <w:t>values.  (M</w:t>
      </w:r>
      <w:r w:rsidR="00DE178C">
        <w:t xml:space="preserve">) </w:t>
      </w:r>
      <w:r w:rsidRPr="00DE178C">
        <w:t>SLA does interact with SPEI to affect graminoid survival, but does not greatly improve model</w:t>
      </w:r>
      <w:r w:rsidR="00DE178C" w:rsidRPr="00DE178C">
        <w:t xml:space="preserve"> </w:t>
      </w:r>
      <w:r w:rsidRPr="00DE178C">
        <w:t>fit in comparison to a model without trait values.  (</w:t>
      </w:r>
      <w:r w:rsidRPr="00DE178C">
        <w:rPr>
          <w:b/>
          <w:bCs/>
        </w:rPr>
        <w:t>B, E, H, K, N</w:t>
      </w:r>
      <w:r w:rsidRPr="00DE178C">
        <w:t>) There is not a significant interaction</w:t>
      </w:r>
      <w:r w:rsidR="00DE178C" w:rsidRPr="00DE178C">
        <w:t xml:space="preserve"> </w:t>
      </w:r>
      <w:r w:rsidRPr="00DE178C">
        <w:t xml:space="preserve">between the effects of any trait and SPEI on </w:t>
      </w:r>
      <w:r w:rsidR="00DE178C">
        <w:t>size</w:t>
      </w:r>
      <w:r w:rsidR="00DE178C">
        <w:rPr>
          <w:i/>
          <w:iCs/>
          <w:vertAlign w:val="subscript"/>
        </w:rPr>
        <w:t>t+1</w:t>
      </w:r>
      <w:r w:rsidRPr="00DE178C">
        <w:t xml:space="preserve">.  However, </w:t>
      </w:r>
      <w:r w:rsidRPr="00DE178C">
        <w:lastRenderedPageBreak/>
        <w:t>Low TLP graminoid species are larger in year</w:t>
      </w:r>
      <w:r w:rsidR="00DE178C">
        <w:t xml:space="preserve"> </w:t>
      </w:r>
      <w:r w:rsidR="00DE178C" w:rsidRPr="00DE178C">
        <w:rPr>
          <w:i/>
          <w:iCs/>
        </w:rPr>
        <w:t>t+1</w:t>
      </w:r>
      <w:r w:rsidR="00DE178C" w:rsidRPr="00DE178C">
        <w:t xml:space="preserve"> </w:t>
      </w:r>
      <w:r w:rsidRPr="00DE178C">
        <w:t>than high TLP species both in wet years (high SPEI, green line) and in dry years (low SPEI, orange</w:t>
      </w:r>
      <w:r w:rsidR="00DE178C" w:rsidRPr="00DE178C">
        <w:t xml:space="preserve"> </w:t>
      </w:r>
      <w:r w:rsidRPr="00DE178C">
        <w:t>line).  Horizontal dashed lines in (</w:t>
      </w:r>
      <w:r w:rsidRPr="00DE178C">
        <w:rPr>
          <w:b/>
          <w:bCs/>
        </w:rPr>
        <w:t>B, E, H, K, N</w:t>
      </w:r>
      <w:r w:rsidRPr="00DE178C">
        <w:t xml:space="preserve">) indicate the average plant size in </w:t>
      </w:r>
      <w:proofErr w:type="spellStart"/>
      <w:r w:rsidRPr="00DE178C">
        <w:t>year</w:t>
      </w:r>
      <w:r w:rsidR="00DE178C">
        <w:rPr>
          <w:i/>
          <w:iCs/>
          <w:vertAlign w:val="subscript"/>
        </w:rPr>
        <w:t>t</w:t>
      </w:r>
      <w:proofErr w:type="spellEnd"/>
      <w:r w:rsidRPr="00DE178C">
        <w:t>.  (</w:t>
      </w:r>
      <w:r w:rsidRPr="00DE178C">
        <w:rPr>
          <w:b/>
          <w:bCs/>
        </w:rPr>
        <w:t>C, F, I, L, O</w:t>
      </w:r>
      <w:r w:rsidRPr="00DE178C">
        <w:t>)Trends for forb survival were similar to those observed for graminoids, although the model fit is weaker and</w:t>
      </w:r>
      <w:r w:rsidR="00DE178C" w:rsidRPr="00DE178C">
        <w:t xml:space="preserve"> </w:t>
      </w:r>
      <w:r w:rsidRPr="00DE178C">
        <w:t>the interaction between trait and environment is less significant for each trait.  Black vertical bars along the</w:t>
      </w:r>
      <w:r w:rsidR="00DE178C" w:rsidRPr="00DE178C">
        <w:t xml:space="preserve"> </w:t>
      </w:r>
      <w:r w:rsidRPr="00DE178C">
        <w:t>x-axis (rug plots) indicate the trait values of the species included in each analysis.  Survival probabilities and ln(sizet+1) for ’wet years’ and ’dry years’ are calculated for the 97.5thand 2.5thquantiles of the distribution of SPEI values</w:t>
      </w:r>
      <w:r w:rsidR="00DE178C">
        <w:t>.</w:t>
      </w:r>
    </w:p>
    <w:p w14:paraId="234ACE98" w14:textId="587E8063" w:rsidR="0017335D" w:rsidRPr="00DE178C" w:rsidRDefault="0017335D" w:rsidP="00DE178C">
      <w:pPr>
        <w:spacing w:line="360" w:lineRule="auto"/>
        <w:contextualSpacing/>
      </w:pPr>
      <w:r w:rsidRPr="00DE178C">
        <w:t>* indicates that this trait-by-SPEI interaction is significant (P&lt;0.05)</w:t>
      </w:r>
    </w:p>
    <w:p w14:paraId="05D7B0E9" w14:textId="04707D2D" w:rsidR="0017335D" w:rsidRPr="00DE178C" w:rsidRDefault="0017335D" w:rsidP="00DE178C">
      <w:pPr>
        <w:spacing w:line="360" w:lineRule="auto"/>
        <w:contextualSpacing/>
      </w:pPr>
      <w:r w:rsidRPr="00DE178C">
        <w:t>§indicates that ∆ AIC for this model is positive</w:t>
      </w:r>
      <w:r w:rsidR="00DE178C" w:rsidRPr="00DE178C">
        <w:t>.</w:t>
      </w:r>
    </w:p>
    <w:p w14:paraId="345664AD" w14:textId="77777777" w:rsidR="002639F7" w:rsidRPr="000118F9" w:rsidRDefault="00B04E25" w:rsidP="0017335D">
      <w:pPr>
        <w:pStyle w:val="Heading1"/>
        <w:spacing w:line="480" w:lineRule="auto"/>
        <w:rPr>
          <w:rFonts w:asciiTheme="minorHAnsi" w:hAnsiTheme="minorHAnsi" w:cs="Calibri"/>
          <w:color w:val="000000" w:themeColor="text1"/>
          <w:sz w:val="24"/>
          <w:szCs w:val="24"/>
        </w:rPr>
      </w:pPr>
      <w:bookmarkStart w:id="14" w:name="discussion"/>
      <w:bookmarkEnd w:id="7"/>
      <w:bookmarkEnd w:id="10"/>
      <w:r w:rsidRPr="000118F9">
        <w:rPr>
          <w:rFonts w:asciiTheme="minorHAnsi" w:hAnsiTheme="minorHAnsi" w:cs="Calibri"/>
          <w:color w:val="000000" w:themeColor="text1"/>
          <w:sz w:val="24"/>
          <w:szCs w:val="24"/>
        </w:rPr>
        <w:t>Discussion</w:t>
      </w:r>
    </w:p>
    <w:p w14:paraId="7161088D" w14:textId="77777777" w:rsidR="002639F7" w:rsidRPr="000118F9" w:rsidRDefault="00B04E25" w:rsidP="00E159E2">
      <w:pPr>
        <w:pStyle w:val="FirstParagraph"/>
        <w:spacing w:line="480" w:lineRule="auto"/>
        <w:ind w:firstLine="720"/>
        <w:rPr>
          <w:rFonts w:cs="Calibri"/>
          <w:color w:val="000000" w:themeColor="text1"/>
        </w:rPr>
      </w:pPr>
      <w:r w:rsidRPr="000118F9">
        <w:rPr>
          <w:rFonts w:cs="Calibri"/>
          <w:color w:val="000000" w:themeColor="text1"/>
        </w:rPr>
        <w:t xml:space="preserve">The demographic processes of growth, survival, and reproduction are the ultimate drivers of plant population and community dynamics, and the impact of climate change on vegetation will, at its root, be determined by the impacts of climate change on these demographic rates. However, climate change or any other variation in the abiotic environment is not acting directly on growth, survival, or reproduction. Instead, the effects of abiotic environmental variation are mediated by the functional traits of a plant, which dictate the nature of a plant’s physiological response and the associated impact on demographic rates. To predict how individual plants, populations, and communities will respond to changing abiotic conditions, it is necessary to identify how functional traits mediate abiotic effects on demographic rates. We used 15 years of demographic data, species-level trait measurements, and measurements of interannual climate variation to determine how morphological and physiological functional traits mediated the effect of drought on perennial growth and survival in a shortgrass steppe ecosystem. We found that </w:t>
      </w:r>
      <w:r w:rsidRPr="000118F9">
        <w:rPr>
          <w:rFonts w:cs="Calibri"/>
          <w:color w:val="000000" w:themeColor="text1"/>
        </w:rPr>
        <w:lastRenderedPageBreak/>
        <w:t>(1) traits are more important for predicting survival than growth across a gradient of SPEI in this ecosystem, (2) leaf TLP is an important predictor of survival probability and growth in this semiarid grassland ecoystem, (3) RDMC and LDMC are more tightly related than TLP to survival in both graminoids and forbs, and (4) survival is not uniformly higher for all species in wet years.</w:t>
      </w:r>
    </w:p>
    <w:p w14:paraId="329202E8" w14:textId="08C439D7" w:rsidR="002639F7" w:rsidRPr="000118F9" w:rsidRDefault="00B04E25" w:rsidP="00E159E2">
      <w:pPr>
        <w:pStyle w:val="BodyText"/>
        <w:spacing w:line="480" w:lineRule="auto"/>
        <w:ind w:firstLine="720"/>
        <w:rPr>
          <w:rFonts w:cs="Calibri"/>
          <w:color w:val="000000" w:themeColor="text1"/>
        </w:rPr>
      </w:pPr>
      <w:r w:rsidRPr="000118F9">
        <w:rPr>
          <w:rFonts w:cs="Calibri"/>
          <w:color w:val="000000" w:themeColor="text1"/>
        </w:rPr>
        <w:t xml:space="preserve">Functional traits mediate the effect of climatic variation on growth and survival in slightly different ways. There is a statistically significant interaction between trait and SPEI in all models of graminoid survival, yet there are no significant interactions in models of graminoid growth. Species with trait values that we predicted to be drought tolerant (low TLP, high LDMC and RDMC) are more likely to be larger in year </w:t>
      </w:r>
      <w:r w:rsidRPr="000118F9">
        <w:rPr>
          <w:rFonts w:cs="Calibri"/>
          <w:i/>
          <w:color w:val="000000" w:themeColor="text1"/>
        </w:rPr>
        <w:t>t+1</w:t>
      </w:r>
      <w:r w:rsidRPr="000118F9">
        <w:rPr>
          <w:rFonts w:cs="Calibri"/>
          <w:color w:val="000000" w:themeColor="text1"/>
        </w:rPr>
        <w:t xml:space="preserve"> than their counterparts at the other end of the trait spectrum, but this pattern does not change in a statistically significant way when year </w:t>
      </w:r>
      <w:r w:rsidRPr="000118F9">
        <w:rPr>
          <w:rFonts w:cs="Calibri"/>
          <w:i/>
          <w:color w:val="000000" w:themeColor="text1"/>
        </w:rPr>
        <w:t>t</w:t>
      </w:r>
      <w:r w:rsidRPr="000118F9">
        <w:rPr>
          <w:rFonts w:cs="Calibri"/>
          <w:color w:val="000000" w:themeColor="text1"/>
        </w:rPr>
        <w:t xml:space="preserve"> is wet or dry (Fig </w:t>
      </w:r>
      <w:hyperlink w:anchor="fig:PredsObs">
        <w:r w:rsidRPr="000118F9">
          <w:rPr>
            <w:rStyle w:val="Hyperlink"/>
            <w:rFonts w:cs="Calibri"/>
            <w:color w:val="000000" w:themeColor="text1"/>
          </w:rPr>
          <w:t>4</w:t>
        </w:r>
      </w:hyperlink>
      <w:r w:rsidR="00DD2CE4">
        <w:rPr>
          <w:rFonts w:cs="Calibri"/>
          <w:color w:val="000000" w:themeColor="text1"/>
        </w:rPr>
        <w:t>;</w:t>
      </w:r>
      <w:r w:rsidRPr="000118F9">
        <w:rPr>
          <w:rFonts w:cs="Calibri"/>
          <w:color w:val="000000" w:themeColor="text1"/>
        </w:rPr>
        <w:t xml:space="preserve"> </w:t>
      </w:r>
      <w:r w:rsidRPr="000118F9">
        <w:rPr>
          <w:rFonts w:cs="Calibri"/>
          <w:b/>
          <w:color w:val="000000" w:themeColor="text1"/>
        </w:rPr>
        <w:t>B, E, H, K</w:t>
      </w:r>
      <w:r w:rsidRPr="000118F9">
        <w:rPr>
          <w:rFonts w:cs="Calibri"/>
          <w:color w:val="000000" w:themeColor="text1"/>
        </w:rPr>
        <w:t xml:space="preserve"> and </w:t>
      </w:r>
      <w:r w:rsidRPr="000118F9">
        <w:rPr>
          <w:rFonts w:cs="Calibri"/>
          <w:b/>
          <w:color w:val="000000" w:themeColor="text1"/>
        </w:rPr>
        <w:t>N</w:t>
      </w:r>
      <w:r w:rsidRPr="000118F9">
        <w:rPr>
          <w:rFonts w:cs="Calibri"/>
          <w:color w:val="000000" w:themeColor="text1"/>
        </w:rPr>
        <w:t>). However size</w:t>
      </w:r>
      <m:oMath>
        <m:sSub>
          <m:sSubPr>
            <m:ctrlPr>
              <w:rPr>
                <w:rFonts w:ascii="Cambria Math" w:hAnsi="Cambria Math" w:cs="Calibri"/>
                <w:color w:val="000000" w:themeColor="text1"/>
              </w:rPr>
            </m:ctrlPr>
          </m:sSubPr>
          <m:e>
            <m:r>
              <w:rPr>
                <w:rFonts w:ascii="Cambria Math" w:hAnsi="Cambria Math" w:cs="Calibri"/>
                <w:color w:val="000000" w:themeColor="text1"/>
              </w:rPr>
              <m:t>​</m:t>
            </m:r>
          </m:e>
          <m:sub>
            <m:r>
              <m:rPr>
                <m:nor/>
              </m:rPr>
              <w:rPr>
                <w:rFonts w:cs="Calibri"/>
                <w:color w:val="000000" w:themeColor="text1"/>
              </w:rPr>
              <m:t>t+1</m:t>
            </m:r>
          </m:sub>
        </m:sSub>
      </m:oMath>
      <w:r w:rsidRPr="000118F9">
        <w:rPr>
          <w:rFonts w:cs="Calibri"/>
          <w:color w:val="000000" w:themeColor="text1"/>
        </w:rPr>
        <w:t xml:space="preserve"> is always very slightly higher in wetter years. Inaccuracies in data collection could contribute to the very wide confidence intervals, low marginal </w:t>
      </w:r>
      <m:oMath>
        <m:sSup>
          <m:sSupPr>
            <m:ctrlPr>
              <w:rPr>
                <w:rFonts w:ascii="Cambria Math" w:hAnsi="Cambria Math" w:cs="Calibri"/>
                <w:color w:val="000000" w:themeColor="text1"/>
              </w:rPr>
            </m:ctrlPr>
          </m:sSupPr>
          <m:e>
            <m:r>
              <w:rPr>
                <w:rFonts w:ascii="Cambria Math" w:hAnsi="Cambria Math" w:cs="Calibri"/>
                <w:color w:val="000000" w:themeColor="text1"/>
              </w:rPr>
              <m:t>R</m:t>
            </m:r>
          </m:e>
          <m:sup>
            <m:r>
              <w:rPr>
                <w:rFonts w:ascii="Cambria Math" w:hAnsi="Cambria Math" w:cs="Calibri"/>
                <w:color w:val="000000" w:themeColor="text1"/>
              </w:rPr>
              <m:t>2</m:t>
            </m:r>
          </m:sup>
        </m:sSup>
      </m:oMath>
      <w:r w:rsidRPr="000118F9">
        <w:rPr>
          <w:rFonts w:cs="Calibri"/>
          <w:color w:val="000000" w:themeColor="text1"/>
        </w:rPr>
        <w:t xml:space="preserve"> values, and relatively inconclusive nature of these growth models. There is substantial room for error both when translating a basal area outline from a 1 m</w:t>
      </w:r>
      <m:oMath>
        <m:sSup>
          <m:sSupPr>
            <m:ctrlPr>
              <w:rPr>
                <w:rFonts w:ascii="Cambria Math" w:hAnsi="Cambria Math" w:cs="Calibri"/>
                <w:color w:val="000000" w:themeColor="text1"/>
              </w:rPr>
            </m:ctrlPr>
          </m:sSupPr>
          <m:e>
            <m:r>
              <w:rPr>
                <w:rFonts w:ascii="Cambria Math" w:hAnsi="Cambria Math" w:cs="Calibri"/>
                <w:color w:val="000000" w:themeColor="text1"/>
              </w:rPr>
              <m:t>​</m:t>
            </m:r>
          </m:e>
          <m:sup>
            <m:r>
              <w:rPr>
                <w:rFonts w:ascii="Cambria Math" w:hAnsi="Cambria Math" w:cs="Calibri"/>
                <w:color w:val="000000" w:themeColor="text1"/>
              </w:rPr>
              <m:t>2</m:t>
            </m:r>
          </m:sup>
        </m:sSup>
      </m:oMath>
      <w:r w:rsidRPr="000118F9">
        <w:rPr>
          <w:rFonts w:cs="Calibri"/>
          <w:color w:val="000000" w:themeColor="text1"/>
        </w:rPr>
        <w:t xml:space="preserve"> quadrat to a hand-held datasheet, and when converting these analog maps to digitized shapefiles. This source of error is compounded by the human error that inevitably results when many different people collect data over many years. Regardless of potential error, these analyses indicate that the probability that a perennial grass will survive to year </w:t>
      </w:r>
      <w:r w:rsidRPr="000118F9">
        <w:rPr>
          <w:rFonts w:cs="Calibri"/>
          <w:i/>
          <w:color w:val="000000" w:themeColor="text1"/>
        </w:rPr>
        <w:t>t+1</w:t>
      </w:r>
      <w:r w:rsidRPr="000118F9">
        <w:rPr>
          <w:rFonts w:cs="Calibri"/>
          <w:color w:val="000000" w:themeColor="text1"/>
        </w:rPr>
        <w:t xml:space="preserve"> depends on both that grass’s trait values, and the SPEI of year </w:t>
      </w:r>
      <w:r w:rsidRPr="000118F9">
        <w:rPr>
          <w:rFonts w:cs="Calibri"/>
          <w:i/>
          <w:color w:val="000000" w:themeColor="text1"/>
        </w:rPr>
        <w:t>t</w:t>
      </w:r>
      <w:r w:rsidRPr="000118F9">
        <w:rPr>
          <w:rFonts w:cs="Calibri"/>
          <w:color w:val="000000" w:themeColor="text1"/>
        </w:rPr>
        <w:t xml:space="preserve">. Whereas the size in year </w:t>
      </w:r>
      <w:r w:rsidRPr="000118F9">
        <w:rPr>
          <w:rFonts w:cs="Calibri"/>
          <w:i/>
          <w:color w:val="000000" w:themeColor="text1"/>
        </w:rPr>
        <w:t>t+1</w:t>
      </w:r>
      <w:r w:rsidRPr="000118F9">
        <w:rPr>
          <w:rFonts w:cs="Calibri"/>
          <w:color w:val="000000" w:themeColor="text1"/>
        </w:rPr>
        <w:t xml:space="preserve"> of that grass depends on trait value in the same way regardless of whether year </w:t>
      </w:r>
      <w:r w:rsidRPr="000118F9">
        <w:rPr>
          <w:rFonts w:cs="Calibri"/>
          <w:i/>
          <w:color w:val="000000" w:themeColor="text1"/>
        </w:rPr>
        <w:t>t</w:t>
      </w:r>
      <w:r w:rsidRPr="000118F9">
        <w:rPr>
          <w:rFonts w:cs="Calibri"/>
          <w:color w:val="000000" w:themeColor="text1"/>
        </w:rPr>
        <w:t xml:space="preserve"> is wet or dry.</w:t>
      </w:r>
    </w:p>
    <w:p w14:paraId="26865786" w14:textId="768607E8" w:rsidR="002639F7" w:rsidRPr="000118F9" w:rsidRDefault="00B04E25" w:rsidP="00E159E2">
      <w:pPr>
        <w:pStyle w:val="BodyText"/>
        <w:spacing w:line="480" w:lineRule="auto"/>
        <w:ind w:firstLine="720"/>
        <w:rPr>
          <w:rFonts w:cs="Calibri"/>
          <w:color w:val="000000" w:themeColor="text1"/>
        </w:rPr>
      </w:pPr>
      <w:r w:rsidRPr="000118F9">
        <w:rPr>
          <w:rFonts w:cs="Calibri"/>
          <w:color w:val="000000" w:themeColor="text1"/>
        </w:rPr>
        <w:lastRenderedPageBreak/>
        <w:t>Wilcox et al. 2020 found that the population-level response to precipitation of species at the CPER (as measured by annual changes in percent-cover and ANPP) could be predicted by species-level values of TLP, LDMC, and SLA, as well as leaf N and P. The net effects of traits on the demographic parameters of survival and size</w:t>
      </w:r>
      <m:oMath>
        <m:sSub>
          <m:sSubPr>
            <m:ctrlPr>
              <w:rPr>
                <w:rFonts w:ascii="Cambria Math" w:hAnsi="Cambria Math" w:cs="Calibri"/>
                <w:color w:val="000000" w:themeColor="text1"/>
              </w:rPr>
            </m:ctrlPr>
          </m:sSubPr>
          <m:e>
            <m:r>
              <w:rPr>
                <w:rFonts w:ascii="Cambria Math" w:hAnsi="Cambria Math" w:cs="Calibri"/>
                <w:color w:val="000000" w:themeColor="text1"/>
              </w:rPr>
              <m:t>​</m:t>
            </m:r>
          </m:e>
          <m:sub>
            <m:r>
              <m:rPr>
                <m:nor/>
              </m:rPr>
              <w:rPr>
                <w:rFonts w:cs="Calibri"/>
                <w:color w:val="000000" w:themeColor="text1"/>
              </w:rPr>
              <m:t>t+1</m:t>
            </m:r>
          </m:sub>
        </m:sSub>
      </m:oMath>
      <w:r w:rsidRPr="000118F9">
        <w:rPr>
          <w:rFonts w:cs="Calibri"/>
          <w:color w:val="000000" w:themeColor="text1"/>
        </w:rPr>
        <w:t xml:space="preserve"> generally agree with the the relationships identified by Wilcox, et al., but only the effects on survival are sensitive to changes in SPEI. This suggests that survival could be the limiting demographic process driving plant population responses to lack of water in this ecosystem. Once a plant survives to the year </w:t>
      </w:r>
      <w:r w:rsidRPr="000118F9">
        <w:rPr>
          <w:rFonts w:cs="Calibri"/>
          <w:i/>
          <w:color w:val="000000" w:themeColor="text1"/>
        </w:rPr>
        <w:t>t+1</w:t>
      </w:r>
      <w:r w:rsidRPr="000118F9">
        <w:rPr>
          <w:rFonts w:cs="Calibri"/>
          <w:color w:val="000000" w:themeColor="text1"/>
        </w:rPr>
        <w:t>, its size in that year is not significantly impacted by water availability. Studies that only consider one vital rates have the potential to draw inaccurate conclusions about how traits mediate abiotic impacts on fitness. To generate a complete picture of how traits determine plant fitness in different environments, it will be necessary to either explicitly consider their effects on growth, survival and reproduction, or quantify fitness by measuring intrinsic population growth rates (Laughlin et al. 2020).</w:t>
      </w:r>
    </w:p>
    <w:p w14:paraId="0AD86FF9" w14:textId="77777777" w:rsidR="002639F7" w:rsidRPr="000118F9" w:rsidRDefault="00B04E25" w:rsidP="00E159E2">
      <w:pPr>
        <w:pStyle w:val="BodyText"/>
        <w:spacing w:line="480" w:lineRule="auto"/>
        <w:ind w:firstLine="720"/>
        <w:rPr>
          <w:rFonts w:cs="Calibri"/>
          <w:color w:val="000000" w:themeColor="text1"/>
        </w:rPr>
      </w:pPr>
      <w:r w:rsidRPr="000118F9">
        <w:rPr>
          <w:rFonts w:cs="Calibri"/>
          <w:color w:val="000000" w:themeColor="text1"/>
        </w:rPr>
        <w:t xml:space="preserve">Leaf TLP, a physiological trait that quantifies osmotic resistance to wilting, is a good predictor of plant survival and growth in the shortgrass steppe ecosystem where water availability is highly variable (Fig. </w:t>
      </w:r>
      <w:hyperlink w:anchor="fig:PredsObs">
        <w:r w:rsidRPr="000118F9">
          <w:rPr>
            <w:rStyle w:val="Hyperlink"/>
            <w:rFonts w:cs="Calibri"/>
            <w:color w:val="000000" w:themeColor="text1"/>
          </w:rPr>
          <w:t>4</w:t>
        </w:r>
      </w:hyperlink>
      <w:r w:rsidRPr="000118F9">
        <w:rPr>
          <w:rFonts w:cs="Calibri"/>
          <w:color w:val="000000" w:themeColor="text1"/>
        </w:rPr>
        <w:t xml:space="preserve">). TLP has long been used as an indicator of physiological drought tolerance, and has been linked to drought tolerance in tropical tree species (Bartlett et al. 2012), and North American grasslands (Griffin-Nolan et al. 2019; Blumenthal et al. 2020; Wilcox et al. 2020). However, our analysis represents the first test of leaf TLP to predict plant demographic responses to interannual variation in water availability. Species with a more negative leaf TLP can lose more water before they begin to wilt and have a higher probability of surviving in dry years than less negative TLP species. Conversely, more negative TLP species are less likely to grow in dry years than species </w:t>
      </w:r>
      <w:r w:rsidRPr="000118F9">
        <w:rPr>
          <w:rFonts w:cs="Calibri"/>
          <w:color w:val="000000" w:themeColor="text1"/>
        </w:rPr>
        <w:lastRenderedPageBreak/>
        <w:t>with less negative TLP. The extent to which leaf TLP mediates demographic responses to drought needs to be tested in a greater variety of vegetation types, especially in less water-limited ecosystems to determine the role of this trait in plant drought-tolerance.</w:t>
      </w:r>
    </w:p>
    <w:p w14:paraId="2C4C5117" w14:textId="77777777" w:rsidR="002639F7" w:rsidRPr="000118F9" w:rsidRDefault="00B04E25" w:rsidP="00E159E2">
      <w:pPr>
        <w:pStyle w:val="BodyText"/>
        <w:spacing w:line="480" w:lineRule="auto"/>
        <w:ind w:firstLine="720"/>
        <w:rPr>
          <w:rFonts w:cs="Calibri"/>
          <w:color w:val="000000" w:themeColor="text1"/>
        </w:rPr>
      </w:pPr>
      <w:r w:rsidRPr="000118F9">
        <w:rPr>
          <w:rFonts w:cs="Calibri"/>
          <w:color w:val="000000" w:themeColor="text1"/>
        </w:rPr>
        <w:t>For the species we measured, the morphological traits LDMC and RDMC are better than TLP, a physiological trait, at predicting growth and survival in response to drought. This contradicts the notion that physiological traits are typically superior tools for identifying individual responses to variation in a specific abiotic parameter (Volaire 2018). This result is somewhat surprising, since TLP is a direct measure of a plant’s capacity to maintain leaf turgor under water stress, and has been shown to be a good indicator of physiological drought tolerance (Bartlett et al. 2012). While LDMC and RDMC have been linked to drought tolerance, they are less directly related to plant water status than leaf TLP, and are correlated with other functional strategies beyond drought tolerance. These results might also indicate that structural resistance to wilting is a more successful strategy in this habitat than osmotic resistance to wilting. The proportionally higher carbon investment in leaf and root structure in high LDMC and RMDC species prevents wilting and the associated loss of function, even when there is low soil water availability that might overcome osmotic wilting resistance. Although the relative importance of these traits for predicting demographic responses to drought may differ in other ecosystems, this result is encouraging from a methodological standpoint since LDMC and RDMC are much easier to measure than leaf TLP.</w:t>
      </w:r>
    </w:p>
    <w:p w14:paraId="06CFAA96" w14:textId="77777777" w:rsidR="002639F7" w:rsidRPr="000118F9" w:rsidRDefault="00B04E25" w:rsidP="00E159E2">
      <w:pPr>
        <w:pStyle w:val="BodyText"/>
        <w:spacing w:line="480" w:lineRule="auto"/>
        <w:ind w:firstLine="720"/>
        <w:rPr>
          <w:rFonts w:cs="Calibri"/>
          <w:color w:val="000000" w:themeColor="text1"/>
        </w:rPr>
      </w:pPr>
      <w:r w:rsidRPr="000118F9">
        <w:rPr>
          <w:rFonts w:cs="Calibri"/>
          <w:color w:val="000000" w:themeColor="text1"/>
        </w:rPr>
        <w:t xml:space="preserve">The interaction we identified in survival models between water-related traits and SPEI differs from our predictions. We predicted consistently high survival probability in </w:t>
      </w:r>
      <w:r w:rsidRPr="000118F9">
        <w:rPr>
          <w:rFonts w:cs="Calibri"/>
          <w:color w:val="000000" w:themeColor="text1"/>
        </w:rPr>
        <w:lastRenderedPageBreak/>
        <w:t xml:space="preserve">wet years regardless of a species’ position along a spectrum for any given trait. In dry years, we expected high survival for high LDMC and low TLP species and low survival for high TLP and low LDMC species (Fig. </w:t>
      </w:r>
      <w:hyperlink w:anchor="fig:ConceptFig">
        <w:r w:rsidRPr="000118F9">
          <w:rPr>
            <w:rStyle w:val="Hyperlink"/>
            <w:rFonts w:cs="Calibri"/>
            <w:color w:val="000000" w:themeColor="text1"/>
          </w:rPr>
          <w:t>1</w:t>
        </w:r>
      </w:hyperlink>
      <w:r w:rsidRPr="000118F9">
        <w:rPr>
          <w:rFonts w:cs="Calibri"/>
          <w:color w:val="000000" w:themeColor="text1"/>
        </w:rPr>
        <w:t xml:space="preserve">). The modeled survival probabilities in dry years are consistent with our expectations across the spectrum of values for TLP and LDMC. However in wet years, survival probability is not consistently high for all species. Instead, survival declines for low TLP and high LDMC species (Fig. </w:t>
      </w:r>
      <w:hyperlink w:anchor="fig:PredsObs">
        <w:r w:rsidRPr="000118F9">
          <w:rPr>
            <w:rStyle w:val="Hyperlink"/>
            <w:rFonts w:cs="Calibri"/>
            <w:color w:val="000000" w:themeColor="text1"/>
          </w:rPr>
          <w:t>4</w:t>
        </w:r>
      </w:hyperlink>
      <w:r w:rsidRPr="000118F9">
        <w:rPr>
          <w:rFonts w:cs="Calibri"/>
          <w:color w:val="000000" w:themeColor="text1"/>
        </w:rPr>
        <w:t>). This pattern could indicate a trade-off between competitive ability and drought tolerance. Species with low TLP and high LDMC are more likely to survive in dry years, but have lower survival in wet years because they are more likely to be out-competed by their more-abundant neighbors with high TLP and low LDMC. This result is consistent with a substantial body of literature that supports the existence of a trade-off between stress-tolerance and competitive ability in plant species (Grime 1979; Grime et al. 1997; Craine 2007; Volaire 2018).</w:t>
      </w:r>
    </w:p>
    <w:p w14:paraId="67CFFE0D" w14:textId="77777777" w:rsidR="002639F7" w:rsidRPr="000118F9" w:rsidRDefault="00B04E25" w:rsidP="0017335D">
      <w:pPr>
        <w:pStyle w:val="Heading2"/>
        <w:spacing w:line="480" w:lineRule="auto"/>
        <w:rPr>
          <w:rFonts w:asciiTheme="minorHAnsi" w:hAnsiTheme="minorHAnsi" w:cs="Calibri"/>
          <w:color w:val="000000" w:themeColor="text1"/>
          <w:sz w:val="24"/>
          <w:szCs w:val="24"/>
        </w:rPr>
      </w:pPr>
      <w:bookmarkStart w:id="15" w:name="synthesis"/>
      <w:r w:rsidRPr="000118F9">
        <w:rPr>
          <w:rFonts w:asciiTheme="minorHAnsi" w:hAnsiTheme="minorHAnsi" w:cs="Calibri"/>
          <w:i/>
          <w:color w:val="000000" w:themeColor="text1"/>
          <w:sz w:val="24"/>
          <w:szCs w:val="24"/>
        </w:rPr>
        <w:t>Synthesis</w:t>
      </w:r>
    </w:p>
    <w:p w14:paraId="31523674" w14:textId="77777777" w:rsidR="002639F7" w:rsidRPr="000118F9" w:rsidRDefault="00B04E25" w:rsidP="00E159E2">
      <w:pPr>
        <w:pStyle w:val="FirstParagraph"/>
        <w:spacing w:line="480" w:lineRule="auto"/>
        <w:ind w:firstLine="720"/>
        <w:rPr>
          <w:rFonts w:cs="Calibri"/>
          <w:color w:val="000000" w:themeColor="text1"/>
        </w:rPr>
      </w:pPr>
      <w:r w:rsidRPr="000118F9">
        <w:rPr>
          <w:rFonts w:cs="Calibri"/>
          <w:color w:val="000000" w:themeColor="text1"/>
        </w:rPr>
        <w:t xml:space="preserve">Identifying plant traits that predict the demographic responses to intensifying environmental stress represents a key step in formulating accurate frameworks of plant community dynamics under environmental change (Laughlin et al. 2020). Our results challenge the notion that physiological traits are always superior predictors of individual plant-level responses to abiotic conditions (Volaire 2018). Specifically, we have shown that easy-to-measure morphological traits such as LDMC and RDMC explain significant variation in plant demographic responses to water stress across 16 graminoid and forb species in a North American grassland ecosystem. More importantly, these results advance our general understanding of the environment-dependent effect of traits on demographic rates, and </w:t>
      </w:r>
      <w:r w:rsidRPr="000118F9">
        <w:rPr>
          <w:rFonts w:cs="Calibri"/>
          <w:color w:val="000000" w:themeColor="text1"/>
        </w:rPr>
        <w:lastRenderedPageBreak/>
        <w:t>reinforce the notion that different demographic rates can have differing responses and contributions to environmental variation (Laughlin et al. 2020).</w:t>
      </w:r>
    </w:p>
    <w:p w14:paraId="39FFD20A" w14:textId="77777777" w:rsidR="002639F7" w:rsidRPr="000118F9" w:rsidRDefault="00B04E25">
      <w:pPr>
        <w:pStyle w:val="Heading1"/>
        <w:rPr>
          <w:rFonts w:asciiTheme="minorHAnsi" w:hAnsiTheme="minorHAnsi" w:cs="Calibri"/>
          <w:color w:val="000000" w:themeColor="text1"/>
          <w:sz w:val="24"/>
          <w:szCs w:val="24"/>
        </w:rPr>
      </w:pPr>
      <w:bookmarkStart w:id="16" w:name="supplementary-information"/>
      <w:bookmarkEnd w:id="14"/>
      <w:bookmarkEnd w:id="15"/>
      <w:r w:rsidRPr="000118F9">
        <w:rPr>
          <w:rFonts w:asciiTheme="minorHAnsi" w:hAnsiTheme="minorHAnsi" w:cs="Calibri"/>
          <w:color w:val="000000" w:themeColor="text1"/>
          <w:sz w:val="24"/>
          <w:szCs w:val="24"/>
        </w:rPr>
        <w:lastRenderedPageBreak/>
        <w:t>Supplementary Information</w:t>
      </w:r>
    </w:p>
    <w:p w14:paraId="54F3F4BB" w14:textId="1AB5C3D7" w:rsidR="00E159E2" w:rsidRDefault="00E2656B">
      <w:pPr>
        <w:pStyle w:val="CaptionedFigure"/>
        <w:rPr>
          <w:rFonts w:cs="Calibri"/>
          <w:color w:val="000000" w:themeColor="text1"/>
        </w:rPr>
      </w:pPr>
      <w:bookmarkStart w:id="17" w:name="fig:GramSurv_all"/>
      <w:r>
        <w:rPr>
          <w:rFonts w:cs="Calibri"/>
          <w:noProof/>
          <w:color w:val="000000" w:themeColor="text1"/>
        </w:rPr>
        <w:drawing>
          <wp:inline distT="0" distB="0" distL="0" distR="0" wp14:anchorId="3509D874" wp14:editId="03ECB1D5">
            <wp:extent cx="5943600" cy="254508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14:paraId="753EA0BD" w14:textId="13B3D070" w:rsidR="00E2656B" w:rsidRDefault="00E2656B">
      <w:pPr>
        <w:pStyle w:val="CaptionedFigure"/>
        <w:rPr>
          <w:rFonts w:cs="Calibri"/>
          <w:color w:val="000000" w:themeColor="text1"/>
        </w:rPr>
      </w:pPr>
      <w:r>
        <w:rPr>
          <w:rFonts w:cs="Calibri"/>
          <w:noProof/>
          <w:color w:val="000000" w:themeColor="text1"/>
        </w:rPr>
        <w:drawing>
          <wp:inline distT="0" distB="0" distL="0" distR="0" wp14:anchorId="0F7F681C" wp14:editId="5BA17C6E">
            <wp:extent cx="5943600" cy="2326005"/>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2326005"/>
                    </a:xfrm>
                    <a:prstGeom prst="rect">
                      <a:avLst/>
                    </a:prstGeom>
                  </pic:spPr>
                </pic:pic>
              </a:graphicData>
            </a:graphic>
          </wp:inline>
        </w:drawing>
      </w:r>
    </w:p>
    <w:p w14:paraId="745014E4" w14:textId="77777777" w:rsidR="00E2656B" w:rsidRDefault="00E2656B">
      <w:pPr>
        <w:pStyle w:val="CaptionedFigure"/>
        <w:rPr>
          <w:rFonts w:cs="Calibri"/>
          <w:color w:val="000000" w:themeColor="text1"/>
        </w:rPr>
      </w:pPr>
    </w:p>
    <w:p w14:paraId="42189E7C" w14:textId="66B55111" w:rsidR="002639F7" w:rsidRPr="000118F9" w:rsidRDefault="00B04E25">
      <w:pPr>
        <w:pStyle w:val="CaptionedFigure"/>
        <w:rPr>
          <w:rFonts w:cs="Calibri"/>
          <w:color w:val="000000" w:themeColor="text1"/>
        </w:rPr>
      </w:pPr>
      <w:r w:rsidRPr="000118F9">
        <w:rPr>
          <w:rFonts w:cs="Calibri"/>
          <w:noProof/>
          <w:color w:val="000000" w:themeColor="text1"/>
        </w:rPr>
        <w:lastRenderedPageBreak/>
        <w:drawing>
          <wp:inline distT="0" distB="0" distL="0" distR="0" wp14:anchorId="020DABAD" wp14:editId="617FBEF2">
            <wp:extent cx="5334000" cy="2874065"/>
            <wp:effectExtent l="0" t="0" r="0" b="0"/>
            <wp:docPr id="5" name="Picture" descr=" Illustration of the interaction between trait and SPEI for forb survival and graminoid survival and growth models for root tissue density and specific root length, which were not included in Fig. 4. (A) There is not a signficant interactive effect of SPEI and RTD on graminoid survival. (D) There is a slightly significant interaction between SPEI and SRL that affects graminoid survival, although this model has a small \Delta AIC value (Marg. R^2 = 0.60, Cond. R^2 = 0.67; interaction coef. = 0.01, P&lt; 0.05). (B, E) Graminoid size_\textit{t+1} is not significantly affected by an interaction between SPEI and RTD or SPEI and SRL. (C, F) Forb survival is significantly affected by an interaction between RTD and SPEI (Marg. R^2 = 0.05, Cond. R^2 = 0.42; interaction coef. = -0.41, P&lt; 0.01) and between SRL and SPEI (Marg. R^2 = 0.03, Cond. R^2 = 0.61; interaction coef. = 0.39, P&lt; 0.01), although both of these models have small \Delta AIC values. "/>
            <wp:cNvGraphicFramePr/>
            <a:graphic xmlns:a="http://schemas.openxmlformats.org/drawingml/2006/main">
              <a:graphicData uri="http://schemas.openxmlformats.org/drawingml/2006/picture">
                <pic:pic xmlns:pic="http://schemas.openxmlformats.org/drawingml/2006/picture">
                  <pic:nvPicPr>
                    <pic:cNvPr id="0" name="Picture" descr="suppObservationsFig-1.pdf"/>
                    <pic:cNvPicPr>
                      <a:picLocks noChangeAspect="1" noChangeArrowheads="1"/>
                    </pic:cNvPicPr>
                  </pic:nvPicPr>
                  <pic:blipFill>
                    <a:blip r:embed="rId16"/>
                    <a:stretch>
                      <a:fillRect/>
                    </a:stretch>
                  </pic:blipFill>
                  <pic:spPr bwMode="auto">
                    <a:xfrm>
                      <a:off x="0" y="0"/>
                      <a:ext cx="5334000" cy="2874065"/>
                    </a:xfrm>
                    <a:prstGeom prst="rect">
                      <a:avLst/>
                    </a:prstGeom>
                    <a:noFill/>
                    <a:ln w="9525">
                      <a:noFill/>
                      <a:headEnd/>
                      <a:tailEnd/>
                    </a:ln>
                  </pic:spPr>
                </pic:pic>
              </a:graphicData>
            </a:graphic>
          </wp:inline>
        </w:drawing>
      </w:r>
      <w:bookmarkEnd w:id="17"/>
    </w:p>
    <w:p w14:paraId="4584C141" w14:textId="16A803EB" w:rsidR="002639F7" w:rsidRPr="00E159E2" w:rsidRDefault="00B04E25" w:rsidP="00E159E2">
      <w:pPr>
        <w:pStyle w:val="ImageCaption"/>
        <w:spacing w:line="360" w:lineRule="auto"/>
        <w:rPr>
          <w:rFonts w:cs="Calibri"/>
          <w:i w:val="0"/>
          <w:iCs/>
          <w:color w:val="000000" w:themeColor="text1"/>
        </w:rPr>
      </w:pPr>
      <w:r w:rsidRPr="00E159E2">
        <w:rPr>
          <w:rFonts w:cs="Calibri"/>
          <w:i w:val="0"/>
          <w:iCs/>
          <w:color w:val="000000" w:themeColor="text1"/>
        </w:rPr>
        <w:t xml:space="preserve"> </w:t>
      </w:r>
      <w:r w:rsidR="00E159E2" w:rsidRPr="00E159E2">
        <w:rPr>
          <w:rFonts w:cs="Calibri"/>
          <w:b/>
          <w:bCs/>
          <w:i w:val="0"/>
          <w:iCs/>
          <w:color w:val="000000" w:themeColor="text1"/>
        </w:rPr>
        <w:t xml:space="preserve">Figure S1. </w:t>
      </w:r>
      <w:r w:rsidRPr="00E159E2">
        <w:rPr>
          <w:rFonts w:cs="Calibri"/>
          <w:i w:val="0"/>
          <w:iCs/>
          <w:color w:val="000000" w:themeColor="text1"/>
        </w:rPr>
        <w:t xml:space="preserve">Illustration of the interaction between trait and SPEI for forb survival and graminoid survival and growth models for root tissue density and specific root length, which were not included in Fig. </w:t>
      </w:r>
      <w:hyperlink w:anchor="fig:PredsObs">
        <w:r w:rsidRPr="00E159E2">
          <w:rPr>
            <w:rStyle w:val="Hyperlink"/>
            <w:rFonts w:cs="Calibri"/>
            <w:i w:val="0"/>
            <w:iCs/>
            <w:color w:val="000000" w:themeColor="text1"/>
          </w:rPr>
          <w:t>4</w:t>
        </w:r>
      </w:hyperlink>
      <w:r w:rsidRPr="00E159E2">
        <w:rPr>
          <w:rFonts w:cs="Calibri"/>
          <w:i w:val="0"/>
          <w:iCs/>
          <w:color w:val="000000" w:themeColor="text1"/>
        </w:rPr>
        <w:t>. (</w:t>
      </w:r>
      <w:r w:rsidRPr="00E159E2">
        <w:rPr>
          <w:rFonts w:cs="Calibri"/>
          <w:b/>
          <w:i w:val="0"/>
          <w:iCs/>
          <w:color w:val="000000" w:themeColor="text1"/>
        </w:rPr>
        <w:t>A</w:t>
      </w:r>
      <w:r w:rsidRPr="00E159E2">
        <w:rPr>
          <w:rFonts w:cs="Calibri"/>
          <w:i w:val="0"/>
          <w:iCs/>
          <w:color w:val="000000" w:themeColor="text1"/>
        </w:rPr>
        <w:t>) There is not a signficant interactive effect of SPEI and RTD on graminoid survival. (</w:t>
      </w:r>
      <w:r w:rsidRPr="00E159E2">
        <w:rPr>
          <w:rFonts w:cs="Calibri"/>
          <w:b/>
          <w:i w:val="0"/>
          <w:iCs/>
          <w:color w:val="000000" w:themeColor="text1"/>
        </w:rPr>
        <w:t>D</w:t>
      </w:r>
      <w:r w:rsidRPr="00E159E2">
        <w:rPr>
          <w:rFonts w:cs="Calibri"/>
          <w:i w:val="0"/>
          <w:iCs/>
          <w:color w:val="000000" w:themeColor="text1"/>
        </w:rPr>
        <w:t xml:space="preserve">) There is a slightly significant interaction between SPEI and SRL that affects graminoid survival, although this model has a small </w:t>
      </w:r>
      <m:oMath>
        <m:r>
          <m:rPr>
            <m:sty m:val="p"/>
          </m:rPr>
          <w:rPr>
            <w:rFonts w:ascii="Cambria Math" w:hAnsi="Cambria Math" w:cs="Calibri"/>
            <w:color w:val="000000" w:themeColor="text1"/>
          </w:rPr>
          <m:t>Δ</m:t>
        </m:r>
      </m:oMath>
      <w:r w:rsidRPr="00E159E2">
        <w:rPr>
          <w:rFonts w:cs="Calibri"/>
          <w:i w:val="0"/>
          <w:iCs/>
          <w:color w:val="000000" w:themeColor="text1"/>
        </w:rPr>
        <w:t xml:space="preserve"> AIC value (Marg. R</w:t>
      </w:r>
      <m:oMath>
        <m:sSup>
          <m:sSupPr>
            <m:ctrlPr>
              <w:rPr>
                <w:rFonts w:ascii="Cambria Math" w:hAnsi="Cambria Math" w:cs="Calibri"/>
                <w:i w:val="0"/>
                <w:iCs/>
                <w:color w:val="000000" w:themeColor="text1"/>
              </w:rPr>
            </m:ctrlPr>
          </m:sSupPr>
          <m:e>
            <m:r>
              <m:rPr>
                <m:sty m:val="p"/>
              </m:rPr>
              <w:rPr>
                <w:rFonts w:ascii="Cambria Math" w:hAnsi="Cambria Math" w:cs="Calibri"/>
                <w:color w:val="000000" w:themeColor="text1"/>
              </w:rPr>
              <m:t>​</m:t>
            </m:r>
          </m:e>
          <m:sup>
            <m:r>
              <m:rPr>
                <m:sty m:val="p"/>
              </m:rPr>
              <w:rPr>
                <w:rFonts w:ascii="Cambria Math" w:hAnsi="Cambria Math" w:cs="Calibri"/>
                <w:color w:val="000000" w:themeColor="text1"/>
              </w:rPr>
              <m:t>2</m:t>
            </m:r>
          </m:sup>
        </m:sSup>
      </m:oMath>
      <w:r w:rsidRPr="00E159E2">
        <w:rPr>
          <w:rFonts w:cs="Calibri"/>
          <w:i w:val="0"/>
          <w:iCs/>
          <w:color w:val="000000" w:themeColor="text1"/>
        </w:rPr>
        <w:t xml:space="preserve"> = 0.60, Cond. R</w:t>
      </w:r>
      <m:oMath>
        <m:sSup>
          <m:sSupPr>
            <m:ctrlPr>
              <w:rPr>
                <w:rFonts w:ascii="Cambria Math" w:hAnsi="Cambria Math" w:cs="Calibri"/>
                <w:i w:val="0"/>
                <w:iCs/>
                <w:color w:val="000000" w:themeColor="text1"/>
              </w:rPr>
            </m:ctrlPr>
          </m:sSupPr>
          <m:e>
            <m:r>
              <m:rPr>
                <m:sty m:val="p"/>
              </m:rPr>
              <w:rPr>
                <w:rFonts w:ascii="Cambria Math" w:hAnsi="Cambria Math" w:cs="Calibri"/>
                <w:color w:val="000000" w:themeColor="text1"/>
              </w:rPr>
              <m:t>​</m:t>
            </m:r>
          </m:e>
          <m:sup>
            <m:r>
              <m:rPr>
                <m:sty m:val="p"/>
              </m:rPr>
              <w:rPr>
                <w:rFonts w:ascii="Cambria Math" w:hAnsi="Cambria Math" w:cs="Calibri"/>
                <w:color w:val="000000" w:themeColor="text1"/>
              </w:rPr>
              <m:t>2</m:t>
            </m:r>
          </m:sup>
        </m:sSup>
      </m:oMath>
      <w:r w:rsidRPr="00E159E2">
        <w:rPr>
          <w:rFonts w:cs="Calibri"/>
          <w:i w:val="0"/>
          <w:iCs/>
          <w:color w:val="000000" w:themeColor="text1"/>
        </w:rPr>
        <w:t xml:space="preserve"> = 0.67; interaction coef. = 0.01, P</w:t>
      </w:r>
      <m:oMath>
        <m:r>
          <m:rPr>
            <m:sty m:val="p"/>
          </m:rPr>
          <w:rPr>
            <w:rFonts w:ascii="Cambria Math" w:hAnsi="Cambria Math" w:cs="Calibri"/>
            <w:color w:val="000000" w:themeColor="text1"/>
          </w:rPr>
          <m:t>&lt;</m:t>
        </m:r>
      </m:oMath>
      <w:r w:rsidRPr="00E159E2">
        <w:rPr>
          <w:rFonts w:cs="Calibri"/>
          <w:i w:val="0"/>
          <w:iCs/>
          <w:color w:val="000000" w:themeColor="text1"/>
        </w:rPr>
        <w:t xml:space="preserve"> 0.05). (</w:t>
      </w:r>
      <w:r w:rsidRPr="00E159E2">
        <w:rPr>
          <w:rFonts w:cs="Calibri"/>
          <w:b/>
          <w:i w:val="0"/>
          <w:iCs/>
          <w:color w:val="000000" w:themeColor="text1"/>
        </w:rPr>
        <w:t>B, E</w:t>
      </w:r>
      <w:r w:rsidRPr="00E159E2">
        <w:rPr>
          <w:rFonts w:cs="Calibri"/>
          <w:i w:val="0"/>
          <w:iCs/>
          <w:color w:val="000000" w:themeColor="text1"/>
        </w:rPr>
        <w:t>) Graminoid size</w:t>
      </w:r>
      <m:oMath>
        <m:sSub>
          <m:sSubPr>
            <m:ctrlPr>
              <w:rPr>
                <w:rFonts w:ascii="Cambria Math" w:hAnsi="Cambria Math" w:cs="Calibri"/>
                <w:i w:val="0"/>
                <w:iCs/>
                <w:color w:val="000000" w:themeColor="text1"/>
              </w:rPr>
            </m:ctrlPr>
          </m:sSubPr>
          <m:e>
            <m:r>
              <m:rPr>
                <m:sty m:val="p"/>
              </m:rPr>
              <w:rPr>
                <w:rFonts w:ascii="Cambria Math" w:hAnsi="Cambria Math" w:cs="Calibri"/>
                <w:color w:val="000000" w:themeColor="text1"/>
              </w:rPr>
              <m:t>​</m:t>
            </m:r>
          </m:e>
          <m:sub>
            <m:r>
              <m:rPr>
                <m:nor/>
              </m:rPr>
              <w:rPr>
                <w:rFonts w:cs="Calibri"/>
                <w:i w:val="0"/>
                <w:iCs/>
                <w:color w:val="000000" w:themeColor="text1"/>
              </w:rPr>
              <m:t>t+1</m:t>
            </m:r>
          </m:sub>
        </m:sSub>
      </m:oMath>
      <w:r w:rsidRPr="00E159E2">
        <w:rPr>
          <w:rFonts w:cs="Calibri"/>
          <w:i w:val="0"/>
          <w:iCs/>
          <w:color w:val="000000" w:themeColor="text1"/>
        </w:rPr>
        <w:t xml:space="preserve"> is not significantly affected by an interaction between SPEI and RTD or SPEI and SRL. (</w:t>
      </w:r>
      <w:r w:rsidRPr="00E159E2">
        <w:rPr>
          <w:rFonts w:cs="Calibri"/>
          <w:b/>
          <w:i w:val="0"/>
          <w:iCs/>
          <w:color w:val="000000" w:themeColor="text1"/>
        </w:rPr>
        <w:t>C, F</w:t>
      </w:r>
      <w:r w:rsidRPr="00E159E2">
        <w:rPr>
          <w:rFonts w:cs="Calibri"/>
          <w:i w:val="0"/>
          <w:iCs/>
          <w:color w:val="000000" w:themeColor="text1"/>
        </w:rPr>
        <w:t>) Forb survival is significantly affected by an interaction between RTD and SPEI (Marg. R</w:t>
      </w:r>
      <m:oMath>
        <m:sSup>
          <m:sSupPr>
            <m:ctrlPr>
              <w:rPr>
                <w:rFonts w:ascii="Cambria Math" w:hAnsi="Cambria Math" w:cs="Calibri"/>
                <w:i w:val="0"/>
                <w:iCs/>
                <w:color w:val="000000" w:themeColor="text1"/>
              </w:rPr>
            </m:ctrlPr>
          </m:sSupPr>
          <m:e>
            <m:r>
              <m:rPr>
                <m:sty m:val="p"/>
              </m:rPr>
              <w:rPr>
                <w:rFonts w:ascii="Cambria Math" w:hAnsi="Cambria Math" w:cs="Calibri"/>
                <w:color w:val="000000" w:themeColor="text1"/>
              </w:rPr>
              <m:t>​</m:t>
            </m:r>
          </m:e>
          <m:sup>
            <m:r>
              <m:rPr>
                <m:sty m:val="p"/>
              </m:rPr>
              <w:rPr>
                <w:rFonts w:ascii="Cambria Math" w:hAnsi="Cambria Math" w:cs="Calibri"/>
                <w:color w:val="000000" w:themeColor="text1"/>
              </w:rPr>
              <m:t>2</m:t>
            </m:r>
          </m:sup>
        </m:sSup>
      </m:oMath>
      <w:r w:rsidRPr="00E159E2">
        <w:rPr>
          <w:rFonts w:cs="Calibri"/>
          <w:i w:val="0"/>
          <w:iCs/>
          <w:color w:val="000000" w:themeColor="text1"/>
        </w:rPr>
        <w:t xml:space="preserve"> = 0.05, Cond. R</w:t>
      </w:r>
      <m:oMath>
        <m:sSup>
          <m:sSupPr>
            <m:ctrlPr>
              <w:rPr>
                <w:rFonts w:ascii="Cambria Math" w:hAnsi="Cambria Math" w:cs="Calibri"/>
                <w:i w:val="0"/>
                <w:iCs/>
                <w:color w:val="000000" w:themeColor="text1"/>
              </w:rPr>
            </m:ctrlPr>
          </m:sSupPr>
          <m:e>
            <m:r>
              <m:rPr>
                <m:sty m:val="p"/>
              </m:rPr>
              <w:rPr>
                <w:rFonts w:ascii="Cambria Math" w:hAnsi="Cambria Math" w:cs="Calibri"/>
                <w:color w:val="000000" w:themeColor="text1"/>
              </w:rPr>
              <m:t>​</m:t>
            </m:r>
          </m:e>
          <m:sup>
            <m:r>
              <m:rPr>
                <m:sty m:val="p"/>
              </m:rPr>
              <w:rPr>
                <w:rFonts w:ascii="Cambria Math" w:hAnsi="Cambria Math" w:cs="Calibri"/>
                <w:color w:val="000000" w:themeColor="text1"/>
              </w:rPr>
              <m:t>2</m:t>
            </m:r>
          </m:sup>
        </m:sSup>
      </m:oMath>
      <w:r w:rsidRPr="00E159E2">
        <w:rPr>
          <w:rFonts w:cs="Calibri"/>
          <w:i w:val="0"/>
          <w:iCs/>
          <w:color w:val="000000" w:themeColor="text1"/>
        </w:rPr>
        <w:t xml:space="preserve"> = 0.42; interaction coef. = -0.41, P</w:t>
      </w:r>
      <m:oMath>
        <m:r>
          <m:rPr>
            <m:sty m:val="p"/>
          </m:rPr>
          <w:rPr>
            <w:rFonts w:ascii="Cambria Math" w:hAnsi="Cambria Math" w:cs="Calibri"/>
            <w:color w:val="000000" w:themeColor="text1"/>
          </w:rPr>
          <m:t>&lt;</m:t>
        </m:r>
      </m:oMath>
      <w:r w:rsidRPr="00E159E2">
        <w:rPr>
          <w:rFonts w:cs="Calibri"/>
          <w:i w:val="0"/>
          <w:iCs/>
          <w:color w:val="000000" w:themeColor="text1"/>
        </w:rPr>
        <w:t xml:space="preserve"> 0.01) and between SRL and SPEI (Marg. R</w:t>
      </w:r>
      <m:oMath>
        <m:sSup>
          <m:sSupPr>
            <m:ctrlPr>
              <w:rPr>
                <w:rFonts w:ascii="Cambria Math" w:hAnsi="Cambria Math" w:cs="Calibri"/>
                <w:i w:val="0"/>
                <w:iCs/>
                <w:color w:val="000000" w:themeColor="text1"/>
              </w:rPr>
            </m:ctrlPr>
          </m:sSupPr>
          <m:e>
            <m:r>
              <m:rPr>
                <m:sty m:val="p"/>
              </m:rPr>
              <w:rPr>
                <w:rFonts w:ascii="Cambria Math" w:hAnsi="Cambria Math" w:cs="Calibri"/>
                <w:color w:val="000000" w:themeColor="text1"/>
              </w:rPr>
              <m:t>​</m:t>
            </m:r>
          </m:e>
          <m:sup>
            <m:r>
              <m:rPr>
                <m:sty m:val="p"/>
              </m:rPr>
              <w:rPr>
                <w:rFonts w:ascii="Cambria Math" w:hAnsi="Cambria Math" w:cs="Calibri"/>
                <w:color w:val="000000" w:themeColor="text1"/>
              </w:rPr>
              <m:t>2</m:t>
            </m:r>
          </m:sup>
        </m:sSup>
      </m:oMath>
      <w:r w:rsidRPr="00E159E2">
        <w:rPr>
          <w:rFonts w:cs="Calibri"/>
          <w:i w:val="0"/>
          <w:iCs/>
          <w:color w:val="000000" w:themeColor="text1"/>
        </w:rPr>
        <w:t xml:space="preserve"> = 0.03, Cond. R</w:t>
      </w:r>
      <m:oMath>
        <m:sSup>
          <m:sSupPr>
            <m:ctrlPr>
              <w:rPr>
                <w:rFonts w:ascii="Cambria Math" w:hAnsi="Cambria Math" w:cs="Calibri"/>
                <w:i w:val="0"/>
                <w:iCs/>
                <w:color w:val="000000" w:themeColor="text1"/>
              </w:rPr>
            </m:ctrlPr>
          </m:sSupPr>
          <m:e>
            <m:r>
              <m:rPr>
                <m:sty m:val="p"/>
              </m:rPr>
              <w:rPr>
                <w:rFonts w:ascii="Cambria Math" w:hAnsi="Cambria Math" w:cs="Calibri"/>
                <w:color w:val="000000" w:themeColor="text1"/>
              </w:rPr>
              <m:t>​</m:t>
            </m:r>
          </m:e>
          <m:sup>
            <m:r>
              <m:rPr>
                <m:sty m:val="p"/>
              </m:rPr>
              <w:rPr>
                <w:rFonts w:ascii="Cambria Math" w:hAnsi="Cambria Math" w:cs="Calibri"/>
                <w:color w:val="000000" w:themeColor="text1"/>
              </w:rPr>
              <m:t>2</m:t>
            </m:r>
          </m:sup>
        </m:sSup>
      </m:oMath>
      <w:r w:rsidRPr="00E159E2">
        <w:rPr>
          <w:rFonts w:cs="Calibri"/>
          <w:i w:val="0"/>
          <w:iCs/>
          <w:color w:val="000000" w:themeColor="text1"/>
        </w:rPr>
        <w:t xml:space="preserve"> = 0.61; interaction coef. = 0.39, P</w:t>
      </w:r>
      <m:oMath>
        <m:r>
          <m:rPr>
            <m:sty m:val="p"/>
          </m:rPr>
          <w:rPr>
            <w:rFonts w:ascii="Cambria Math" w:hAnsi="Cambria Math" w:cs="Calibri"/>
            <w:color w:val="000000" w:themeColor="text1"/>
          </w:rPr>
          <m:t>&lt;</m:t>
        </m:r>
      </m:oMath>
      <w:r w:rsidRPr="00E159E2">
        <w:rPr>
          <w:rFonts w:cs="Calibri"/>
          <w:i w:val="0"/>
          <w:iCs/>
          <w:color w:val="000000" w:themeColor="text1"/>
        </w:rPr>
        <w:t xml:space="preserve"> 0.01), although both of these models have small </w:t>
      </w:r>
      <m:oMath>
        <m:r>
          <m:rPr>
            <m:sty m:val="p"/>
          </m:rPr>
          <w:rPr>
            <w:rFonts w:ascii="Cambria Math" w:hAnsi="Cambria Math" w:cs="Calibri"/>
            <w:color w:val="000000" w:themeColor="text1"/>
          </w:rPr>
          <m:t>Δ</m:t>
        </m:r>
      </m:oMath>
      <w:r w:rsidRPr="00E159E2">
        <w:rPr>
          <w:rFonts w:cs="Calibri"/>
          <w:i w:val="0"/>
          <w:iCs/>
          <w:color w:val="000000" w:themeColor="text1"/>
        </w:rPr>
        <w:t xml:space="preserve"> AIC values. </w:t>
      </w:r>
    </w:p>
    <w:p w14:paraId="486657D9" w14:textId="77777777" w:rsidR="0017335D" w:rsidRDefault="0017335D">
      <w:pPr>
        <w:pStyle w:val="Bibliography"/>
        <w:rPr>
          <w:rFonts w:cs="Calibri"/>
          <w:b/>
          <w:bCs/>
          <w:color w:val="000000" w:themeColor="text1"/>
        </w:rPr>
      </w:pPr>
      <w:bookmarkStart w:id="18" w:name="ref-Adler2012"/>
      <w:bookmarkStart w:id="19" w:name="refs"/>
    </w:p>
    <w:p w14:paraId="611E0399" w14:textId="0B4A9C99" w:rsidR="0017335D" w:rsidRPr="0017335D" w:rsidRDefault="0017335D">
      <w:pPr>
        <w:pStyle w:val="Bibliography"/>
        <w:rPr>
          <w:rFonts w:cs="Calibri"/>
          <w:b/>
          <w:bCs/>
          <w:color w:val="000000" w:themeColor="text1"/>
        </w:rPr>
      </w:pPr>
      <w:r>
        <w:rPr>
          <w:rFonts w:cs="Calibri"/>
          <w:b/>
          <w:bCs/>
          <w:color w:val="000000" w:themeColor="text1"/>
        </w:rPr>
        <w:t>References</w:t>
      </w:r>
    </w:p>
    <w:p w14:paraId="10F6BC06" w14:textId="18CBE507" w:rsidR="002639F7" w:rsidRPr="000118F9" w:rsidRDefault="00B04E25" w:rsidP="0017335D">
      <w:pPr>
        <w:pStyle w:val="Bibliography"/>
        <w:ind w:left="720" w:hanging="720"/>
        <w:rPr>
          <w:rFonts w:cs="Calibri"/>
          <w:color w:val="000000" w:themeColor="text1"/>
        </w:rPr>
      </w:pPr>
      <w:r w:rsidRPr="000118F9">
        <w:rPr>
          <w:rFonts w:cs="Calibri"/>
          <w:color w:val="000000" w:themeColor="text1"/>
        </w:rPr>
        <w:t xml:space="preserve">Adler, Peter B., Harmony J. Dalgleish, and Stephen P. Ellner. 2012. “Forecasting plant community impacts of climate variability and change: When do competitive interactions matter?” </w:t>
      </w:r>
      <w:r w:rsidRPr="000118F9">
        <w:rPr>
          <w:rFonts w:cs="Calibri"/>
          <w:i/>
          <w:color w:val="000000" w:themeColor="text1"/>
        </w:rPr>
        <w:t>Journal of Ecology</w:t>
      </w:r>
      <w:r w:rsidRPr="000118F9">
        <w:rPr>
          <w:rFonts w:cs="Calibri"/>
          <w:color w:val="000000" w:themeColor="text1"/>
        </w:rPr>
        <w:t xml:space="preserve"> 100 (2): 478–87. </w:t>
      </w:r>
      <w:hyperlink r:id="rId17">
        <w:r w:rsidRPr="000118F9">
          <w:rPr>
            <w:rStyle w:val="Hyperlink"/>
            <w:rFonts w:cs="Calibri"/>
            <w:color w:val="000000" w:themeColor="text1"/>
          </w:rPr>
          <w:t>https://doi.org/10.1111/j.1365-2745.2011.01930.x</w:t>
        </w:r>
      </w:hyperlink>
      <w:r w:rsidRPr="000118F9">
        <w:rPr>
          <w:rFonts w:cs="Calibri"/>
          <w:color w:val="000000" w:themeColor="text1"/>
        </w:rPr>
        <w:t>.</w:t>
      </w:r>
    </w:p>
    <w:p w14:paraId="6497EAC0" w14:textId="77777777" w:rsidR="002639F7" w:rsidRPr="000118F9" w:rsidRDefault="00B04E25" w:rsidP="0017335D">
      <w:pPr>
        <w:pStyle w:val="Bibliography"/>
        <w:ind w:left="720" w:hanging="720"/>
        <w:rPr>
          <w:rFonts w:cs="Calibri"/>
          <w:color w:val="000000" w:themeColor="text1"/>
        </w:rPr>
      </w:pPr>
      <w:bookmarkStart w:id="20" w:name="ref-Adler2018"/>
      <w:bookmarkEnd w:id="18"/>
      <w:r w:rsidRPr="000118F9">
        <w:rPr>
          <w:rFonts w:cs="Calibri"/>
          <w:color w:val="000000" w:themeColor="text1"/>
        </w:rPr>
        <w:t xml:space="preserve">Adler, Peter B., Danielle Smull, Karen H. Beard, Ryan T. Choi, Tucker Furniss, Andrew Kulmatiski, Joan M. Meiners, Andrew T. Tredennick, and Kari E. Veblen. 2018. “Competition and coexistence in plant communities: intraspecific competition is </w:t>
      </w:r>
      <w:r w:rsidRPr="000118F9">
        <w:rPr>
          <w:rFonts w:cs="Calibri"/>
          <w:color w:val="000000" w:themeColor="text1"/>
        </w:rPr>
        <w:lastRenderedPageBreak/>
        <w:t xml:space="preserve">stronger than interspecific competition.” </w:t>
      </w:r>
      <w:r w:rsidRPr="000118F9">
        <w:rPr>
          <w:rFonts w:cs="Calibri"/>
          <w:i/>
          <w:color w:val="000000" w:themeColor="text1"/>
        </w:rPr>
        <w:t>Ecology Letters</w:t>
      </w:r>
      <w:r w:rsidRPr="000118F9">
        <w:rPr>
          <w:rFonts w:cs="Calibri"/>
          <w:color w:val="000000" w:themeColor="text1"/>
        </w:rPr>
        <w:t xml:space="preserve"> 21 (9): 1319–29. </w:t>
      </w:r>
      <w:hyperlink r:id="rId18">
        <w:r w:rsidRPr="000118F9">
          <w:rPr>
            <w:rStyle w:val="Hyperlink"/>
            <w:rFonts w:cs="Calibri"/>
            <w:color w:val="000000" w:themeColor="text1"/>
          </w:rPr>
          <w:t>https://doi.org/10.1111/ele.13098</w:t>
        </w:r>
      </w:hyperlink>
      <w:r w:rsidRPr="000118F9">
        <w:rPr>
          <w:rFonts w:cs="Calibri"/>
          <w:color w:val="000000" w:themeColor="text1"/>
        </w:rPr>
        <w:t>.</w:t>
      </w:r>
    </w:p>
    <w:p w14:paraId="3315A6E9" w14:textId="77777777" w:rsidR="002639F7" w:rsidRPr="000118F9" w:rsidRDefault="00B04E25" w:rsidP="0017335D">
      <w:pPr>
        <w:pStyle w:val="Bibliography"/>
        <w:ind w:left="720" w:hanging="720"/>
        <w:rPr>
          <w:rFonts w:cs="Calibri"/>
          <w:color w:val="000000" w:themeColor="text1"/>
        </w:rPr>
      </w:pPr>
      <w:bookmarkStart w:id="21" w:name="ref-Bartlett2012"/>
      <w:bookmarkEnd w:id="20"/>
      <w:r w:rsidRPr="000118F9">
        <w:rPr>
          <w:rFonts w:cs="Calibri"/>
          <w:color w:val="000000" w:themeColor="text1"/>
        </w:rPr>
        <w:t xml:space="preserve">Bartlett, Megan K., Christine Scoffoni, Rico Ardy, Ya Zhang, Shanwen Sun, Kunfang Cao, and Lawren Sack. 2012. “Rapid determination of comparative drought tolerance traits: Using an osmometer to predict turgor loss point.” </w:t>
      </w:r>
      <w:r w:rsidRPr="000118F9">
        <w:rPr>
          <w:rFonts w:cs="Calibri"/>
          <w:i/>
          <w:color w:val="000000" w:themeColor="text1"/>
        </w:rPr>
        <w:t>Methods in Ecology and Evolution</w:t>
      </w:r>
      <w:r w:rsidRPr="000118F9">
        <w:rPr>
          <w:rFonts w:cs="Calibri"/>
          <w:color w:val="000000" w:themeColor="text1"/>
        </w:rPr>
        <w:t xml:space="preserve"> 3 (5): 880–88. </w:t>
      </w:r>
      <w:hyperlink r:id="rId19">
        <w:r w:rsidRPr="000118F9">
          <w:rPr>
            <w:rStyle w:val="Hyperlink"/>
            <w:rFonts w:cs="Calibri"/>
            <w:color w:val="000000" w:themeColor="text1"/>
          </w:rPr>
          <w:t>https://doi.org/10.1111/j.2041-210X.2012.00230.x</w:t>
        </w:r>
      </w:hyperlink>
      <w:r w:rsidRPr="000118F9">
        <w:rPr>
          <w:rFonts w:cs="Calibri"/>
          <w:color w:val="000000" w:themeColor="text1"/>
        </w:rPr>
        <w:t>.</w:t>
      </w:r>
    </w:p>
    <w:p w14:paraId="60B10658" w14:textId="77777777" w:rsidR="002639F7" w:rsidRPr="000118F9" w:rsidRDefault="00B04E25" w:rsidP="0017335D">
      <w:pPr>
        <w:pStyle w:val="Bibliography"/>
        <w:ind w:left="720" w:hanging="720"/>
        <w:rPr>
          <w:rFonts w:cs="Calibri"/>
          <w:color w:val="000000" w:themeColor="text1"/>
        </w:rPr>
      </w:pPr>
      <w:bookmarkStart w:id="22" w:name="ref-Bartlett2012a"/>
      <w:bookmarkEnd w:id="21"/>
      <w:r w:rsidRPr="000118F9">
        <w:rPr>
          <w:rFonts w:cs="Calibri"/>
          <w:color w:val="000000" w:themeColor="text1"/>
        </w:rPr>
        <w:t xml:space="preserve">Bartlett, Megan K., Christine Scoffoni, and Lawren Sack. 2012. “The determinants of leaf turgor loss point and prediction of drought tolerance of species and biomes: A global meta-analysis.” </w:t>
      </w:r>
      <w:r w:rsidRPr="000118F9">
        <w:rPr>
          <w:rFonts w:cs="Calibri"/>
          <w:i/>
          <w:color w:val="000000" w:themeColor="text1"/>
        </w:rPr>
        <w:t>Ecology Letters</w:t>
      </w:r>
      <w:r w:rsidRPr="000118F9">
        <w:rPr>
          <w:rFonts w:cs="Calibri"/>
          <w:color w:val="000000" w:themeColor="text1"/>
        </w:rPr>
        <w:t xml:space="preserve"> 15 (5): 393–405. </w:t>
      </w:r>
      <w:hyperlink r:id="rId20">
        <w:r w:rsidRPr="000118F9">
          <w:rPr>
            <w:rStyle w:val="Hyperlink"/>
            <w:rFonts w:cs="Calibri"/>
            <w:color w:val="000000" w:themeColor="text1"/>
          </w:rPr>
          <w:t>https://doi.org/10.1111/j.1461-0248.2012.01751.x</w:t>
        </w:r>
      </w:hyperlink>
      <w:r w:rsidRPr="000118F9">
        <w:rPr>
          <w:rFonts w:cs="Calibri"/>
          <w:color w:val="000000" w:themeColor="text1"/>
        </w:rPr>
        <w:t>.</w:t>
      </w:r>
    </w:p>
    <w:p w14:paraId="024D45AC" w14:textId="77777777" w:rsidR="002639F7" w:rsidRPr="000118F9" w:rsidRDefault="00B04E25" w:rsidP="0017335D">
      <w:pPr>
        <w:pStyle w:val="Bibliography"/>
        <w:ind w:left="720" w:hanging="720"/>
        <w:rPr>
          <w:rFonts w:cs="Calibri"/>
          <w:color w:val="000000" w:themeColor="text1"/>
        </w:rPr>
      </w:pPr>
      <w:bookmarkStart w:id="23" w:name="ref-Bartletta2016TheDrought"/>
      <w:bookmarkEnd w:id="22"/>
      <w:r w:rsidRPr="000118F9">
        <w:rPr>
          <w:rFonts w:cs="Calibri"/>
          <w:color w:val="000000" w:themeColor="text1"/>
        </w:rPr>
        <w:t xml:space="preserve">Bartletta, Megan K., Tamir Klein, Steven Jansen, Brendan Choat, and Lawren Sack. 2016. “The correlations and sequence of plant stomatal, hydraulic, and wilting responses to drought.” </w:t>
      </w:r>
      <w:r w:rsidRPr="000118F9">
        <w:rPr>
          <w:rFonts w:cs="Calibri"/>
          <w:i/>
          <w:color w:val="000000" w:themeColor="text1"/>
        </w:rPr>
        <w:t>Proceedings of the National Academy of Sciences of the United States of America</w:t>
      </w:r>
      <w:r w:rsidRPr="000118F9">
        <w:rPr>
          <w:rFonts w:cs="Calibri"/>
          <w:color w:val="000000" w:themeColor="text1"/>
        </w:rPr>
        <w:t xml:space="preserve"> 113 (46): 13098–13103. </w:t>
      </w:r>
      <w:hyperlink r:id="rId21">
        <w:r w:rsidRPr="000118F9">
          <w:rPr>
            <w:rStyle w:val="Hyperlink"/>
            <w:rFonts w:cs="Calibri"/>
            <w:color w:val="000000" w:themeColor="text1"/>
          </w:rPr>
          <w:t>https://doi.org/10.1073/pnas.1604088113</w:t>
        </w:r>
      </w:hyperlink>
      <w:r w:rsidRPr="000118F9">
        <w:rPr>
          <w:rFonts w:cs="Calibri"/>
          <w:color w:val="000000" w:themeColor="text1"/>
        </w:rPr>
        <w:t>.</w:t>
      </w:r>
    </w:p>
    <w:p w14:paraId="697699F2" w14:textId="77777777" w:rsidR="002639F7" w:rsidRPr="000118F9" w:rsidRDefault="00B04E25" w:rsidP="0017335D">
      <w:pPr>
        <w:pStyle w:val="Bibliography"/>
        <w:ind w:left="720" w:hanging="720"/>
        <w:rPr>
          <w:rFonts w:cs="Calibri"/>
          <w:color w:val="000000" w:themeColor="text1"/>
        </w:rPr>
      </w:pPr>
      <w:bookmarkStart w:id="24" w:name="ref-Bates2015"/>
      <w:bookmarkEnd w:id="23"/>
      <w:r w:rsidRPr="000118F9">
        <w:rPr>
          <w:rFonts w:cs="Calibri"/>
          <w:color w:val="000000" w:themeColor="text1"/>
        </w:rPr>
        <w:t xml:space="preserve">Bates, Douglas, Martin Mächler, Ben Bolker, and Steve Walker. 2015. “Fitting Linear Mixed-Effects Models Using lme4.” </w:t>
      </w:r>
      <w:r w:rsidRPr="000118F9">
        <w:rPr>
          <w:rFonts w:cs="Calibri"/>
          <w:i/>
          <w:color w:val="000000" w:themeColor="text1"/>
        </w:rPr>
        <w:t>Journal of Statistical Software</w:t>
      </w:r>
      <w:r w:rsidRPr="000118F9">
        <w:rPr>
          <w:rFonts w:cs="Calibri"/>
          <w:color w:val="000000" w:themeColor="text1"/>
        </w:rPr>
        <w:t xml:space="preserve"> 67 (1). </w:t>
      </w:r>
      <w:hyperlink r:id="rId22">
        <w:r w:rsidRPr="000118F9">
          <w:rPr>
            <w:rStyle w:val="Hyperlink"/>
            <w:rFonts w:cs="Calibri"/>
            <w:color w:val="000000" w:themeColor="text1"/>
          </w:rPr>
          <w:t>https://doi.org/10.18637/jss.v067.i01</w:t>
        </w:r>
      </w:hyperlink>
      <w:r w:rsidRPr="000118F9">
        <w:rPr>
          <w:rFonts w:cs="Calibri"/>
          <w:color w:val="000000" w:themeColor="text1"/>
        </w:rPr>
        <w:t>.</w:t>
      </w:r>
    </w:p>
    <w:p w14:paraId="05FCB72E" w14:textId="77777777" w:rsidR="002639F7" w:rsidRPr="000118F9" w:rsidRDefault="00B04E25" w:rsidP="0017335D">
      <w:pPr>
        <w:pStyle w:val="Bibliography"/>
        <w:ind w:left="720" w:hanging="720"/>
        <w:rPr>
          <w:rFonts w:cs="Calibri"/>
          <w:color w:val="000000" w:themeColor="text1"/>
        </w:rPr>
      </w:pPr>
      <w:bookmarkStart w:id="25" w:name="ref-Blumenthal2020"/>
      <w:bookmarkEnd w:id="24"/>
      <w:r w:rsidRPr="000118F9">
        <w:rPr>
          <w:rFonts w:cs="Calibri"/>
          <w:color w:val="000000" w:themeColor="text1"/>
        </w:rPr>
        <w:t xml:space="preserve">Blumenthal, Dana M., Kevin E. Mueller, Julie A. Kray, Troy W. Ocheltree, David J. Augustine, and Kevin R. Wilcox. 2020. “Traits link drought resistance with herbivore defense and plant economics in semiarid grasslands: the central roles of phenology and leaf dry matter content.” </w:t>
      </w:r>
      <w:r w:rsidRPr="000118F9">
        <w:rPr>
          <w:rFonts w:cs="Calibri"/>
          <w:i/>
          <w:color w:val="000000" w:themeColor="text1"/>
        </w:rPr>
        <w:t>Journal of Ecology</w:t>
      </w:r>
      <w:r w:rsidRPr="000118F9">
        <w:rPr>
          <w:rFonts w:cs="Calibri"/>
          <w:color w:val="000000" w:themeColor="text1"/>
        </w:rPr>
        <w:t xml:space="preserve">, 1–16. </w:t>
      </w:r>
      <w:hyperlink r:id="rId23">
        <w:r w:rsidRPr="000118F9">
          <w:rPr>
            <w:rStyle w:val="Hyperlink"/>
            <w:rFonts w:cs="Calibri"/>
            <w:color w:val="000000" w:themeColor="text1"/>
          </w:rPr>
          <w:t>https://doi.org/10.1111/1365-2745.13454</w:t>
        </w:r>
      </w:hyperlink>
      <w:r w:rsidRPr="000118F9">
        <w:rPr>
          <w:rFonts w:cs="Calibri"/>
          <w:color w:val="000000" w:themeColor="text1"/>
        </w:rPr>
        <w:t>.</w:t>
      </w:r>
    </w:p>
    <w:p w14:paraId="4B0C1728" w14:textId="77777777" w:rsidR="002639F7" w:rsidRPr="000118F9" w:rsidRDefault="00B04E25" w:rsidP="0017335D">
      <w:pPr>
        <w:pStyle w:val="Bibliography"/>
        <w:ind w:left="720" w:hanging="720"/>
        <w:rPr>
          <w:rFonts w:cs="Calibri"/>
          <w:color w:val="000000" w:themeColor="text1"/>
        </w:rPr>
      </w:pPr>
      <w:bookmarkStart w:id="26" w:name="ref-Bolker2009"/>
      <w:bookmarkEnd w:id="25"/>
      <w:r w:rsidRPr="000118F9">
        <w:rPr>
          <w:rFonts w:cs="Calibri"/>
          <w:color w:val="000000" w:themeColor="text1"/>
        </w:rPr>
        <w:t xml:space="preserve">Bolker, Benjamin M., Mollie E. Brooks, Connie J. Clark, Shane W. Geange, John R. Poulsen, M. Henry H. Stevens, and Jada Simone S. White. 2009. “Generalized linear mixed models: a practical guide for ecology and evolution.” </w:t>
      </w:r>
      <w:r w:rsidRPr="000118F9">
        <w:rPr>
          <w:rFonts w:cs="Calibri"/>
          <w:i/>
          <w:color w:val="000000" w:themeColor="text1"/>
        </w:rPr>
        <w:t>Trends in Ecology and Evolution</w:t>
      </w:r>
      <w:r w:rsidRPr="000118F9">
        <w:rPr>
          <w:rFonts w:cs="Calibri"/>
          <w:color w:val="000000" w:themeColor="text1"/>
        </w:rPr>
        <w:t xml:space="preserve"> 24 (3): 127–35. </w:t>
      </w:r>
      <w:hyperlink r:id="rId24">
        <w:r w:rsidRPr="000118F9">
          <w:rPr>
            <w:rStyle w:val="Hyperlink"/>
            <w:rFonts w:cs="Calibri"/>
            <w:color w:val="000000" w:themeColor="text1"/>
          </w:rPr>
          <w:t>https://doi.org/10.1016/j.tree.2008.10.008</w:t>
        </w:r>
      </w:hyperlink>
      <w:r w:rsidRPr="000118F9">
        <w:rPr>
          <w:rFonts w:cs="Calibri"/>
          <w:color w:val="000000" w:themeColor="text1"/>
        </w:rPr>
        <w:t>.</w:t>
      </w:r>
    </w:p>
    <w:p w14:paraId="29E14342" w14:textId="77777777" w:rsidR="002639F7" w:rsidRPr="000118F9" w:rsidRDefault="00B04E25" w:rsidP="0017335D">
      <w:pPr>
        <w:pStyle w:val="Bibliography"/>
        <w:ind w:left="720" w:hanging="720"/>
        <w:rPr>
          <w:rFonts w:cs="Calibri"/>
          <w:color w:val="000000" w:themeColor="text1"/>
        </w:rPr>
      </w:pPr>
      <w:bookmarkStart w:id="27" w:name="ref-Chu2014"/>
      <w:bookmarkEnd w:id="26"/>
      <w:r w:rsidRPr="000118F9">
        <w:rPr>
          <w:rFonts w:cs="Calibri"/>
          <w:color w:val="000000" w:themeColor="text1"/>
        </w:rPr>
        <w:t xml:space="preserve">Chu, Chengjin, Kris M. Havstad, Nicole Kaplan, William K. Lauenroth, Mitchel P. McClaran, Debra P. Peters, Lance T. Vermeire, and Peter B. Adler. 2014. “Life form influences survivorship patterns for 109 herbaceous perennials from six semi-arid ecosystems.” </w:t>
      </w:r>
      <w:r w:rsidRPr="000118F9">
        <w:rPr>
          <w:rFonts w:cs="Calibri"/>
          <w:i/>
          <w:color w:val="000000" w:themeColor="text1"/>
        </w:rPr>
        <w:t>Journal of Vegetation Science</w:t>
      </w:r>
      <w:r w:rsidRPr="000118F9">
        <w:rPr>
          <w:rFonts w:cs="Calibri"/>
          <w:color w:val="000000" w:themeColor="text1"/>
        </w:rPr>
        <w:t xml:space="preserve"> 25 (4): 947–54. </w:t>
      </w:r>
      <w:hyperlink r:id="rId25">
        <w:r w:rsidRPr="000118F9">
          <w:rPr>
            <w:rStyle w:val="Hyperlink"/>
            <w:rFonts w:cs="Calibri"/>
            <w:color w:val="000000" w:themeColor="text1"/>
          </w:rPr>
          <w:t>https://doi.org/10.1111/jvs.12106</w:t>
        </w:r>
      </w:hyperlink>
      <w:r w:rsidRPr="000118F9">
        <w:rPr>
          <w:rFonts w:cs="Calibri"/>
          <w:color w:val="000000" w:themeColor="text1"/>
        </w:rPr>
        <w:t>.</w:t>
      </w:r>
    </w:p>
    <w:p w14:paraId="41DDF9C4" w14:textId="77777777" w:rsidR="002639F7" w:rsidRPr="000118F9" w:rsidRDefault="00B04E25" w:rsidP="0017335D">
      <w:pPr>
        <w:pStyle w:val="Bibliography"/>
        <w:ind w:left="720" w:hanging="720"/>
        <w:rPr>
          <w:rFonts w:cs="Calibri"/>
          <w:color w:val="000000" w:themeColor="text1"/>
        </w:rPr>
      </w:pPr>
      <w:bookmarkStart w:id="28" w:name="ref-Chu2013"/>
      <w:bookmarkEnd w:id="27"/>
      <w:r w:rsidRPr="000118F9">
        <w:rPr>
          <w:rFonts w:cs="Calibri"/>
          <w:color w:val="000000" w:themeColor="text1"/>
        </w:rPr>
        <w:t xml:space="preserve">Chu, Chengjin, John Norman, Robert Flynn, NIcole Kaplan, William K Lauenroth, and Peter B Adler. 2013. “Cover, density, and demographics of shortgrass steppe plants mapped 1997-2010 in permanent grazed and ungrazed quadrats.” </w:t>
      </w:r>
      <w:r w:rsidRPr="000118F9">
        <w:rPr>
          <w:rFonts w:cs="Calibri"/>
          <w:i/>
          <w:color w:val="000000" w:themeColor="text1"/>
        </w:rPr>
        <w:t>Ecology</w:t>
      </w:r>
      <w:r w:rsidRPr="000118F9">
        <w:rPr>
          <w:rFonts w:cs="Calibri"/>
          <w:color w:val="000000" w:themeColor="text1"/>
        </w:rPr>
        <w:t xml:space="preserve"> 94 (1435).</w:t>
      </w:r>
    </w:p>
    <w:p w14:paraId="7BC3B648" w14:textId="77777777" w:rsidR="002639F7" w:rsidRPr="000118F9" w:rsidRDefault="00B04E25" w:rsidP="0017335D">
      <w:pPr>
        <w:pStyle w:val="Bibliography"/>
        <w:ind w:left="720" w:hanging="720"/>
        <w:rPr>
          <w:rFonts w:cs="Calibri"/>
          <w:color w:val="000000" w:themeColor="text1"/>
        </w:rPr>
      </w:pPr>
      <w:bookmarkStart w:id="29" w:name="ref-Cornwell2009CommunityCalifornia"/>
      <w:bookmarkEnd w:id="28"/>
      <w:r w:rsidRPr="000118F9">
        <w:rPr>
          <w:rFonts w:cs="Calibri"/>
          <w:color w:val="000000" w:themeColor="text1"/>
        </w:rPr>
        <w:t xml:space="preserve">Cornwell, William K., and David D. Ackerly. 2009. “Community assembly and shifts in plant trait distributions across an environmental gradient in coastal California.” </w:t>
      </w:r>
      <w:r w:rsidRPr="000118F9">
        <w:rPr>
          <w:rFonts w:cs="Calibri"/>
          <w:i/>
          <w:color w:val="000000" w:themeColor="text1"/>
        </w:rPr>
        <w:t>Ecological Monographs</w:t>
      </w:r>
      <w:r w:rsidRPr="000118F9">
        <w:rPr>
          <w:rFonts w:cs="Calibri"/>
          <w:color w:val="000000" w:themeColor="text1"/>
        </w:rPr>
        <w:t xml:space="preserve"> 79 (1): 109–26. </w:t>
      </w:r>
      <w:hyperlink r:id="rId26">
        <w:r w:rsidRPr="000118F9">
          <w:rPr>
            <w:rStyle w:val="Hyperlink"/>
            <w:rFonts w:cs="Calibri"/>
            <w:color w:val="000000" w:themeColor="text1"/>
          </w:rPr>
          <w:t>https://doi.org/10.1890/07-1134.1</w:t>
        </w:r>
      </w:hyperlink>
      <w:r w:rsidRPr="000118F9">
        <w:rPr>
          <w:rFonts w:cs="Calibri"/>
          <w:color w:val="000000" w:themeColor="text1"/>
        </w:rPr>
        <w:t>.</w:t>
      </w:r>
    </w:p>
    <w:p w14:paraId="1E34DF72" w14:textId="77777777" w:rsidR="002639F7" w:rsidRPr="000118F9" w:rsidRDefault="00B04E25" w:rsidP="0017335D">
      <w:pPr>
        <w:pStyle w:val="Bibliography"/>
        <w:ind w:left="720" w:hanging="720"/>
        <w:rPr>
          <w:rFonts w:cs="Calibri"/>
          <w:color w:val="000000" w:themeColor="text1"/>
        </w:rPr>
      </w:pPr>
      <w:bookmarkStart w:id="30" w:name="ref-Craine2007"/>
      <w:bookmarkEnd w:id="29"/>
      <w:r w:rsidRPr="000118F9">
        <w:rPr>
          <w:rFonts w:cs="Calibri"/>
          <w:color w:val="000000" w:themeColor="text1"/>
        </w:rPr>
        <w:lastRenderedPageBreak/>
        <w:t xml:space="preserve">Craine, Joseph M. 2007. “Plant strategy theories: Replies to Grime and Tilman: Forum.” </w:t>
      </w:r>
      <w:r w:rsidRPr="000118F9">
        <w:rPr>
          <w:rFonts w:cs="Calibri"/>
          <w:i/>
          <w:color w:val="000000" w:themeColor="text1"/>
        </w:rPr>
        <w:t>Journal of Ecology</w:t>
      </w:r>
      <w:r w:rsidRPr="000118F9">
        <w:rPr>
          <w:rFonts w:cs="Calibri"/>
          <w:color w:val="000000" w:themeColor="text1"/>
        </w:rPr>
        <w:t xml:space="preserve"> 95 (2): 235–40. </w:t>
      </w:r>
      <w:hyperlink r:id="rId27">
        <w:r w:rsidRPr="000118F9">
          <w:rPr>
            <w:rStyle w:val="Hyperlink"/>
            <w:rFonts w:cs="Calibri"/>
            <w:color w:val="000000" w:themeColor="text1"/>
          </w:rPr>
          <w:t>https://doi.org/10.1111/j.1365-2745.2007.01212.x</w:t>
        </w:r>
      </w:hyperlink>
      <w:r w:rsidRPr="000118F9">
        <w:rPr>
          <w:rFonts w:cs="Calibri"/>
          <w:color w:val="000000" w:themeColor="text1"/>
        </w:rPr>
        <w:t>.</w:t>
      </w:r>
    </w:p>
    <w:p w14:paraId="6D6CD27B" w14:textId="77777777" w:rsidR="002639F7" w:rsidRPr="000118F9" w:rsidRDefault="00B04E25" w:rsidP="0017335D">
      <w:pPr>
        <w:pStyle w:val="Bibliography"/>
        <w:ind w:left="720" w:hanging="720"/>
        <w:rPr>
          <w:rFonts w:cs="Calibri"/>
          <w:color w:val="000000" w:themeColor="text1"/>
        </w:rPr>
      </w:pPr>
      <w:bookmarkStart w:id="31" w:name="ref-Dahlgren2009LinkingHerb"/>
      <w:bookmarkEnd w:id="30"/>
      <w:r w:rsidRPr="000118F9">
        <w:rPr>
          <w:rFonts w:cs="Calibri"/>
          <w:color w:val="000000" w:themeColor="text1"/>
        </w:rPr>
        <w:t xml:space="preserve">Dahlgren, Johan P., and Johan Ehrlén. 2009. “Linking environmental variation to population dynamics of a forest herb.” </w:t>
      </w:r>
      <w:r w:rsidRPr="000118F9">
        <w:rPr>
          <w:rFonts w:cs="Calibri"/>
          <w:i/>
          <w:color w:val="000000" w:themeColor="text1"/>
        </w:rPr>
        <w:t>Journal of Ecology</w:t>
      </w:r>
      <w:r w:rsidRPr="000118F9">
        <w:rPr>
          <w:rFonts w:cs="Calibri"/>
          <w:color w:val="000000" w:themeColor="text1"/>
        </w:rPr>
        <w:t xml:space="preserve"> 97 (4): 666–74. </w:t>
      </w:r>
      <w:hyperlink r:id="rId28">
        <w:r w:rsidRPr="000118F9">
          <w:rPr>
            <w:rStyle w:val="Hyperlink"/>
            <w:rFonts w:cs="Calibri"/>
            <w:color w:val="000000" w:themeColor="text1"/>
          </w:rPr>
          <w:t>https://doi.org/10.1111/j.1365-2745.2009.01504.x</w:t>
        </w:r>
      </w:hyperlink>
      <w:r w:rsidRPr="000118F9">
        <w:rPr>
          <w:rFonts w:cs="Calibri"/>
          <w:color w:val="000000" w:themeColor="text1"/>
        </w:rPr>
        <w:t>.</w:t>
      </w:r>
    </w:p>
    <w:p w14:paraId="02D3B020" w14:textId="77777777" w:rsidR="002639F7" w:rsidRPr="000118F9" w:rsidRDefault="00B04E25" w:rsidP="0017335D">
      <w:pPr>
        <w:pStyle w:val="Bibliography"/>
        <w:ind w:left="720" w:hanging="720"/>
        <w:rPr>
          <w:rFonts w:cs="Calibri"/>
          <w:color w:val="000000" w:themeColor="text1"/>
        </w:rPr>
      </w:pPr>
      <w:bookmarkStart w:id="32" w:name="ref-Dalgleish2011ClimatePlants"/>
      <w:bookmarkEnd w:id="31"/>
      <w:r w:rsidRPr="000118F9">
        <w:rPr>
          <w:rFonts w:cs="Calibri"/>
          <w:color w:val="000000" w:themeColor="text1"/>
        </w:rPr>
        <w:t xml:space="preserve">Dalgleish, Harmony J., David N. Koons, Mevin B. Hooten, Corey A. Moffet, and Peter B. Adler. 2011. “Climate influences the demography of three dominant sagebrush steppe plants.” </w:t>
      </w:r>
      <w:r w:rsidRPr="000118F9">
        <w:rPr>
          <w:rFonts w:cs="Calibri"/>
          <w:i/>
          <w:color w:val="000000" w:themeColor="text1"/>
        </w:rPr>
        <w:t>Ecology</w:t>
      </w:r>
      <w:r w:rsidRPr="000118F9">
        <w:rPr>
          <w:rFonts w:cs="Calibri"/>
          <w:color w:val="000000" w:themeColor="text1"/>
        </w:rPr>
        <w:t xml:space="preserve"> 92 (1): 75–85. </w:t>
      </w:r>
      <w:hyperlink r:id="rId29">
        <w:r w:rsidRPr="000118F9">
          <w:rPr>
            <w:rStyle w:val="Hyperlink"/>
            <w:rFonts w:cs="Calibri"/>
            <w:color w:val="000000" w:themeColor="text1"/>
          </w:rPr>
          <w:t>https://doi.org/10.1890/10-0780.1</w:t>
        </w:r>
      </w:hyperlink>
      <w:r w:rsidRPr="000118F9">
        <w:rPr>
          <w:rFonts w:cs="Calibri"/>
          <w:color w:val="000000" w:themeColor="text1"/>
        </w:rPr>
        <w:t>.</w:t>
      </w:r>
    </w:p>
    <w:p w14:paraId="0E185D6C" w14:textId="77777777" w:rsidR="002639F7" w:rsidRPr="000118F9" w:rsidRDefault="00B04E25" w:rsidP="0017335D">
      <w:pPr>
        <w:pStyle w:val="Bibliography"/>
        <w:ind w:left="720" w:hanging="720"/>
        <w:rPr>
          <w:rFonts w:cs="Calibri"/>
          <w:color w:val="000000" w:themeColor="text1"/>
        </w:rPr>
      </w:pPr>
      <w:bookmarkStart w:id="33" w:name="ref-Dibner2019"/>
      <w:bookmarkEnd w:id="32"/>
      <w:r w:rsidRPr="000118F9">
        <w:rPr>
          <w:rFonts w:cs="Calibri"/>
          <w:color w:val="000000" w:themeColor="text1"/>
        </w:rPr>
        <w:t xml:space="preserve">Dibner, Reilly R., Megan L. Peterson, Allison M. Louthan, and Daniel F. Doak. 2019. “Multiple mechanisms confer stability to isolated populations of a rare endemic plant.” </w:t>
      </w:r>
      <w:r w:rsidRPr="000118F9">
        <w:rPr>
          <w:rFonts w:cs="Calibri"/>
          <w:i/>
          <w:color w:val="000000" w:themeColor="text1"/>
        </w:rPr>
        <w:t>Ecological Monographs</w:t>
      </w:r>
      <w:r w:rsidRPr="000118F9">
        <w:rPr>
          <w:rFonts w:cs="Calibri"/>
          <w:color w:val="000000" w:themeColor="text1"/>
        </w:rPr>
        <w:t xml:space="preserve"> 89 (2): 1–16. </w:t>
      </w:r>
      <w:hyperlink r:id="rId30">
        <w:r w:rsidRPr="000118F9">
          <w:rPr>
            <w:rStyle w:val="Hyperlink"/>
            <w:rFonts w:cs="Calibri"/>
            <w:color w:val="000000" w:themeColor="text1"/>
          </w:rPr>
          <w:t>https://doi.org/10.1002/ecm.1360</w:t>
        </w:r>
      </w:hyperlink>
      <w:r w:rsidRPr="000118F9">
        <w:rPr>
          <w:rFonts w:cs="Calibri"/>
          <w:color w:val="000000" w:themeColor="text1"/>
        </w:rPr>
        <w:t>.</w:t>
      </w:r>
    </w:p>
    <w:p w14:paraId="57C4A8A4" w14:textId="77777777" w:rsidR="002639F7" w:rsidRPr="000118F9" w:rsidRDefault="00B04E25" w:rsidP="0017335D">
      <w:pPr>
        <w:pStyle w:val="Bibliography"/>
        <w:ind w:left="720" w:hanging="720"/>
        <w:rPr>
          <w:rFonts w:cs="Calibri"/>
          <w:color w:val="000000" w:themeColor="text1"/>
        </w:rPr>
      </w:pPr>
      <w:bookmarkStart w:id="34" w:name="ref-Griffin-Nolan2019"/>
      <w:bookmarkEnd w:id="33"/>
      <w:r w:rsidRPr="000118F9">
        <w:rPr>
          <w:rFonts w:cs="Calibri"/>
          <w:color w:val="000000" w:themeColor="text1"/>
        </w:rPr>
        <w:t xml:space="preserve">Griffin-Nolan, Robert J., Troy W. Ocheltree, Kevin E. Mueller, Dana M. Blumenthal, Julie A. Kray, and Alan K. Knapp. 2019. “Extending the osmometer method for assessing drought tolerance in herbaceous species.” </w:t>
      </w:r>
      <w:r w:rsidRPr="000118F9">
        <w:rPr>
          <w:rFonts w:cs="Calibri"/>
          <w:i/>
          <w:color w:val="000000" w:themeColor="text1"/>
        </w:rPr>
        <w:t>Oecologia</w:t>
      </w:r>
      <w:r w:rsidRPr="000118F9">
        <w:rPr>
          <w:rFonts w:cs="Calibri"/>
          <w:color w:val="000000" w:themeColor="text1"/>
        </w:rPr>
        <w:t xml:space="preserve">, no. 0123456789. </w:t>
      </w:r>
      <w:hyperlink r:id="rId31">
        <w:r w:rsidRPr="000118F9">
          <w:rPr>
            <w:rStyle w:val="Hyperlink"/>
            <w:rFonts w:cs="Calibri"/>
            <w:color w:val="000000" w:themeColor="text1"/>
          </w:rPr>
          <w:t>https://doi.org/10.1007/s00442-019-04336-w</w:t>
        </w:r>
      </w:hyperlink>
      <w:r w:rsidRPr="000118F9">
        <w:rPr>
          <w:rFonts w:cs="Calibri"/>
          <w:color w:val="000000" w:themeColor="text1"/>
        </w:rPr>
        <w:t>.</w:t>
      </w:r>
    </w:p>
    <w:p w14:paraId="2E867319" w14:textId="77777777" w:rsidR="002639F7" w:rsidRPr="000118F9" w:rsidRDefault="00B04E25" w:rsidP="0017335D">
      <w:pPr>
        <w:pStyle w:val="Bibliography"/>
        <w:ind w:left="720" w:hanging="720"/>
        <w:rPr>
          <w:rFonts w:cs="Calibri"/>
          <w:color w:val="000000" w:themeColor="text1"/>
        </w:rPr>
      </w:pPr>
      <w:bookmarkStart w:id="35" w:name="ref-Grime1997"/>
      <w:bookmarkEnd w:id="34"/>
      <w:r w:rsidRPr="000118F9">
        <w:rPr>
          <w:rFonts w:cs="Calibri"/>
          <w:color w:val="000000" w:themeColor="text1"/>
        </w:rPr>
        <w:t xml:space="preserve">Grime, Author J P, K Thompson, R Hunt, J G Hodgson, J H C Cornelissen, G A F Hendry, T W Ashenden, et al. 1997. “Integrated Screening Validates Primary Axes of Specialisation in Plants.” </w:t>
      </w:r>
      <w:r w:rsidRPr="000118F9">
        <w:rPr>
          <w:rFonts w:cs="Calibri"/>
          <w:i/>
          <w:color w:val="000000" w:themeColor="text1"/>
        </w:rPr>
        <w:t>Oikos</w:t>
      </w:r>
      <w:r w:rsidRPr="000118F9">
        <w:rPr>
          <w:rFonts w:cs="Calibri"/>
          <w:color w:val="000000" w:themeColor="text1"/>
        </w:rPr>
        <w:t xml:space="preserve"> 79 (2): 259–81.</w:t>
      </w:r>
    </w:p>
    <w:p w14:paraId="76FA3F8D" w14:textId="77777777" w:rsidR="002639F7" w:rsidRPr="000118F9" w:rsidRDefault="00B04E25" w:rsidP="0017335D">
      <w:pPr>
        <w:pStyle w:val="Bibliography"/>
        <w:ind w:left="720" w:hanging="720"/>
        <w:rPr>
          <w:rFonts w:cs="Calibri"/>
          <w:color w:val="000000" w:themeColor="text1"/>
        </w:rPr>
      </w:pPr>
      <w:bookmarkStart w:id="36" w:name="ref-Grime1979"/>
      <w:bookmarkEnd w:id="35"/>
      <w:r w:rsidRPr="000118F9">
        <w:rPr>
          <w:rFonts w:cs="Calibri"/>
          <w:color w:val="000000" w:themeColor="text1"/>
        </w:rPr>
        <w:t xml:space="preserve">Grime, J Philip. 1979. </w:t>
      </w:r>
      <w:r w:rsidRPr="000118F9">
        <w:rPr>
          <w:rFonts w:cs="Calibri"/>
          <w:i/>
          <w:color w:val="000000" w:themeColor="text1"/>
        </w:rPr>
        <w:t>Plant Strategies &amp; Vegetation Processes</w:t>
      </w:r>
      <w:r w:rsidRPr="000118F9">
        <w:rPr>
          <w:rFonts w:cs="Calibri"/>
          <w:color w:val="000000" w:themeColor="text1"/>
        </w:rPr>
        <w:t>. New York: John WIley &amp; Sons, Ltd.</w:t>
      </w:r>
    </w:p>
    <w:p w14:paraId="7964EA46" w14:textId="77777777" w:rsidR="002639F7" w:rsidRPr="000118F9" w:rsidRDefault="00B04E25" w:rsidP="0017335D">
      <w:pPr>
        <w:pStyle w:val="Bibliography"/>
        <w:ind w:left="720" w:hanging="720"/>
        <w:rPr>
          <w:rFonts w:cs="Calibri"/>
          <w:color w:val="000000" w:themeColor="text1"/>
        </w:rPr>
      </w:pPr>
      <w:bookmarkStart w:id="37" w:name="ref-Harrison2015Climate-drivenCommunity"/>
      <w:bookmarkEnd w:id="36"/>
      <w:r w:rsidRPr="000118F9">
        <w:rPr>
          <w:rFonts w:cs="Calibri"/>
          <w:color w:val="000000" w:themeColor="text1"/>
        </w:rPr>
        <w:t xml:space="preserve">Harrison, Susan P., Elise S. Gornish, and Stella Copeland. 2015. “Climate-driven diversity loss in a grassland community.” </w:t>
      </w:r>
      <w:r w:rsidRPr="000118F9">
        <w:rPr>
          <w:rFonts w:cs="Calibri"/>
          <w:i/>
          <w:color w:val="000000" w:themeColor="text1"/>
        </w:rPr>
        <w:t>Proceedings of the National Academy of Sciences of the United States of America</w:t>
      </w:r>
      <w:r w:rsidRPr="000118F9">
        <w:rPr>
          <w:rFonts w:cs="Calibri"/>
          <w:color w:val="000000" w:themeColor="text1"/>
        </w:rPr>
        <w:t xml:space="preserve"> 112 (28): 8672–7. </w:t>
      </w:r>
      <w:hyperlink r:id="rId32">
        <w:r w:rsidRPr="000118F9">
          <w:rPr>
            <w:rStyle w:val="Hyperlink"/>
            <w:rFonts w:cs="Calibri"/>
            <w:color w:val="000000" w:themeColor="text1"/>
          </w:rPr>
          <w:t>https://doi.org/10.1073/pnas.1502074112</w:t>
        </w:r>
      </w:hyperlink>
      <w:r w:rsidRPr="000118F9">
        <w:rPr>
          <w:rFonts w:cs="Calibri"/>
          <w:color w:val="000000" w:themeColor="text1"/>
        </w:rPr>
        <w:t>.</w:t>
      </w:r>
    </w:p>
    <w:p w14:paraId="2F7C688E" w14:textId="77777777" w:rsidR="002639F7" w:rsidRPr="000118F9" w:rsidRDefault="00B04E25" w:rsidP="0017335D">
      <w:pPr>
        <w:pStyle w:val="Bibliography"/>
        <w:ind w:left="720" w:hanging="720"/>
        <w:rPr>
          <w:rFonts w:cs="Calibri"/>
          <w:color w:val="000000" w:themeColor="text1"/>
        </w:rPr>
      </w:pPr>
      <w:bookmarkStart w:id="38" w:name="ref-Hartmann2013"/>
      <w:bookmarkEnd w:id="37"/>
      <w:r w:rsidRPr="000118F9">
        <w:rPr>
          <w:rFonts w:cs="Calibri"/>
          <w:color w:val="000000" w:themeColor="text1"/>
        </w:rPr>
        <w:t xml:space="preserve">Hartmann, Dennis L., Albert M. G. Klein Tank, Matilde Rusticucci, Lisa V. Alexander, Stefan Brönnimann, Yassine Abdul Rahman Charabi, Frank J. Dentener, et al. 2013. “Observations: Atmosphere and surface.” In </w:t>
      </w:r>
      <w:r w:rsidRPr="000118F9">
        <w:rPr>
          <w:rFonts w:cs="Calibri"/>
          <w:i/>
          <w:color w:val="000000" w:themeColor="text1"/>
        </w:rPr>
        <w:t>Climate Change 2013: The Physical Science Basis: Working Group I Contribution to the Fifth Assessment Report of the Ipcc</w:t>
      </w:r>
      <w:r w:rsidRPr="000118F9">
        <w:rPr>
          <w:rFonts w:cs="Calibri"/>
          <w:color w:val="000000" w:themeColor="text1"/>
        </w:rPr>
        <w:t>, edited by T F Stocker, D Qin, G K Plattner, M Tignor, S K Allen, J Boschung, A Nauels, Y Xia, V Bex, and P M Midgley, 159–254. Cambridge, United Kingdom; New York, NY, USA: Cambridge University Press.</w:t>
      </w:r>
    </w:p>
    <w:p w14:paraId="52C3E36E" w14:textId="77777777" w:rsidR="002639F7" w:rsidRPr="000118F9" w:rsidRDefault="00B04E25" w:rsidP="0017335D">
      <w:pPr>
        <w:pStyle w:val="Bibliography"/>
        <w:ind w:left="720" w:hanging="720"/>
        <w:rPr>
          <w:rFonts w:cs="Calibri"/>
          <w:color w:val="000000" w:themeColor="text1"/>
        </w:rPr>
      </w:pPr>
      <w:bookmarkStart w:id="39" w:name="ref-Hodgson2011"/>
      <w:bookmarkEnd w:id="38"/>
      <w:r w:rsidRPr="000118F9">
        <w:rPr>
          <w:rFonts w:cs="Calibri"/>
          <w:color w:val="000000" w:themeColor="text1"/>
        </w:rPr>
        <w:t xml:space="preserve">Hodgson, J. G., G. Montserrat-Martí, M. Charles, G. Jones, P. Wilson, B. Shipley, M. Sharafi, et al. 2011. “Is leaf dry matter content a better predictor of soil fertility than specific leaf area?” </w:t>
      </w:r>
      <w:r w:rsidRPr="000118F9">
        <w:rPr>
          <w:rFonts w:cs="Calibri"/>
          <w:i/>
          <w:color w:val="000000" w:themeColor="text1"/>
        </w:rPr>
        <w:t>Annals of Botany</w:t>
      </w:r>
      <w:r w:rsidRPr="000118F9">
        <w:rPr>
          <w:rFonts w:cs="Calibri"/>
          <w:color w:val="000000" w:themeColor="text1"/>
        </w:rPr>
        <w:t xml:space="preserve"> 108 (7): 1337–45. </w:t>
      </w:r>
      <w:hyperlink r:id="rId33">
        <w:r w:rsidRPr="000118F9">
          <w:rPr>
            <w:rStyle w:val="Hyperlink"/>
            <w:rFonts w:cs="Calibri"/>
            <w:color w:val="000000" w:themeColor="text1"/>
          </w:rPr>
          <w:t>https://doi.org/10.1093/aob/mcr225</w:t>
        </w:r>
      </w:hyperlink>
      <w:r w:rsidRPr="000118F9">
        <w:rPr>
          <w:rFonts w:cs="Calibri"/>
          <w:color w:val="000000" w:themeColor="text1"/>
        </w:rPr>
        <w:t>.</w:t>
      </w:r>
    </w:p>
    <w:p w14:paraId="3FF8D69E" w14:textId="77777777" w:rsidR="002639F7" w:rsidRPr="000118F9" w:rsidRDefault="00B04E25" w:rsidP="0017335D">
      <w:pPr>
        <w:pStyle w:val="Bibliography"/>
        <w:ind w:left="720" w:hanging="720"/>
        <w:rPr>
          <w:rFonts w:cs="Calibri"/>
          <w:color w:val="000000" w:themeColor="text1"/>
        </w:rPr>
      </w:pPr>
      <w:bookmarkStart w:id="40" w:name="ref-Hoover2014ResistanceExtremes"/>
      <w:bookmarkEnd w:id="39"/>
      <w:r w:rsidRPr="000118F9">
        <w:rPr>
          <w:rFonts w:cs="Calibri"/>
          <w:color w:val="000000" w:themeColor="text1"/>
        </w:rPr>
        <w:t xml:space="preserve">Hoover, David L, Alan K Knapp, and Melinda D Smith. 2014. “Resistance and resilience of a grassland ecosystem to climate extremes.” </w:t>
      </w:r>
      <w:r w:rsidRPr="000118F9">
        <w:rPr>
          <w:rFonts w:cs="Calibri"/>
          <w:i/>
          <w:color w:val="000000" w:themeColor="text1"/>
        </w:rPr>
        <w:t>Ecology</w:t>
      </w:r>
      <w:r w:rsidRPr="000118F9">
        <w:rPr>
          <w:rFonts w:cs="Calibri"/>
          <w:color w:val="000000" w:themeColor="text1"/>
        </w:rPr>
        <w:t xml:space="preserve"> 95 (9): 2646–56.</w:t>
      </w:r>
    </w:p>
    <w:p w14:paraId="484E3534" w14:textId="77777777" w:rsidR="002639F7" w:rsidRPr="000118F9" w:rsidRDefault="00B04E25" w:rsidP="0017335D">
      <w:pPr>
        <w:pStyle w:val="Bibliography"/>
        <w:ind w:left="720" w:hanging="720"/>
        <w:rPr>
          <w:rFonts w:cs="Calibri"/>
          <w:color w:val="000000" w:themeColor="text1"/>
        </w:rPr>
      </w:pPr>
      <w:bookmarkStart w:id="41" w:name="ref-Knapp2008ConsequencesEcosystems"/>
      <w:bookmarkEnd w:id="40"/>
      <w:r w:rsidRPr="000118F9">
        <w:rPr>
          <w:rFonts w:cs="Calibri"/>
          <w:color w:val="000000" w:themeColor="text1"/>
        </w:rPr>
        <w:lastRenderedPageBreak/>
        <w:t xml:space="preserve">Knapp, Alan K., Claus Beier, David D. Briske, Aimée T. Classen, Luo Yiqi, Markus Reichstein, Melinda D. Smith, et al. 2008. “Consequences of more extreme precipitation regimes for terrestrial ecosystems.” </w:t>
      </w:r>
      <w:r w:rsidRPr="000118F9">
        <w:rPr>
          <w:rFonts w:cs="Calibri"/>
          <w:i/>
          <w:color w:val="000000" w:themeColor="text1"/>
        </w:rPr>
        <w:t>BioScience</w:t>
      </w:r>
      <w:r w:rsidRPr="000118F9">
        <w:rPr>
          <w:rFonts w:cs="Calibri"/>
          <w:color w:val="000000" w:themeColor="text1"/>
        </w:rPr>
        <w:t xml:space="preserve"> 58 (9): 811–21. </w:t>
      </w:r>
      <w:hyperlink r:id="rId34">
        <w:r w:rsidRPr="000118F9">
          <w:rPr>
            <w:rStyle w:val="Hyperlink"/>
            <w:rFonts w:cs="Calibri"/>
            <w:color w:val="000000" w:themeColor="text1"/>
          </w:rPr>
          <w:t>https://doi.org/10.1641/B580908</w:t>
        </w:r>
      </w:hyperlink>
      <w:r w:rsidRPr="000118F9">
        <w:rPr>
          <w:rFonts w:cs="Calibri"/>
          <w:color w:val="000000" w:themeColor="text1"/>
        </w:rPr>
        <w:t>.</w:t>
      </w:r>
    </w:p>
    <w:p w14:paraId="7B5BE281" w14:textId="77777777" w:rsidR="002639F7" w:rsidRPr="000118F9" w:rsidRDefault="00B04E25" w:rsidP="0017335D">
      <w:pPr>
        <w:pStyle w:val="Bibliography"/>
        <w:ind w:left="720" w:hanging="720"/>
        <w:rPr>
          <w:rFonts w:cs="Calibri"/>
          <w:color w:val="000000" w:themeColor="text1"/>
        </w:rPr>
      </w:pPr>
      <w:bookmarkStart w:id="42" w:name="ref-Koerner2014"/>
      <w:bookmarkEnd w:id="41"/>
      <w:r w:rsidRPr="000118F9">
        <w:rPr>
          <w:rFonts w:cs="Calibri"/>
          <w:color w:val="000000" w:themeColor="text1"/>
        </w:rPr>
        <w:t xml:space="preserve">Koerner, Sally E., and Scott L. Collins. 2014. “Interactive effects of grazing, drought, and fire on grassland plant communities in North America and South Africa.” </w:t>
      </w:r>
      <w:r w:rsidRPr="000118F9">
        <w:rPr>
          <w:rFonts w:cs="Calibri"/>
          <w:i/>
          <w:color w:val="000000" w:themeColor="text1"/>
        </w:rPr>
        <w:t>Ecology</w:t>
      </w:r>
      <w:r w:rsidRPr="000118F9">
        <w:rPr>
          <w:rFonts w:cs="Calibri"/>
          <w:color w:val="000000" w:themeColor="text1"/>
        </w:rPr>
        <w:t xml:space="preserve"> 95 (1): 98–109. </w:t>
      </w:r>
      <w:hyperlink r:id="rId35">
        <w:r w:rsidRPr="000118F9">
          <w:rPr>
            <w:rStyle w:val="Hyperlink"/>
            <w:rFonts w:cs="Calibri"/>
            <w:color w:val="000000" w:themeColor="text1"/>
          </w:rPr>
          <w:t>https://doi.org/10.1890/13-0526.1</w:t>
        </w:r>
      </w:hyperlink>
      <w:r w:rsidRPr="000118F9">
        <w:rPr>
          <w:rFonts w:cs="Calibri"/>
          <w:color w:val="000000" w:themeColor="text1"/>
        </w:rPr>
        <w:t>.</w:t>
      </w:r>
    </w:p>
    <w:p w14:paraId="0F0D6E2B" w14:textId="77777777" w:rsidR="002639F7" w:rsidRPr="000118F9" w:rsidRDefault="00B04E25" w:rsidP="0017335D">
      <w:pPr>
        <w:pStyle w:val="Bibliography"/>
        <w:ind w:left="720" w:hanging="720"/>
        <w:rPr>
          <w:rFonts w:cs="Calibri"/>
          <w:color w:val="000000" w:themeColor="text1"/>
        </w:rPr>
      </w:pPr>
      <w:bookmarkStart w:id="43" w:name="ref-Kramer-Walter2016"/>
      <w:bookmarkEnd w:id="42"/>
      <w:r w:rsidRPr="000118F9">
        <w:rPr>
          <w:rFonts w:cs="Calibri"/>
          <w:color w:val="000000" w:themeColor="text1"/>
        </w:rPr>
        <w:t xml:space="preserve">Kramer-Walter, Kris R., Peter J. Bellingham, Timothy R. Millar, Rob D. Smissen, Sarah J. Richardson, and Daniel C. Laughlin. 2016. “Root traits are multidimensional: specific root length is independent from root tissue density and the plant economic spectrum.” </w:t>
      </w:r>
      <w:r w:rsidRPr="000118F9">
        <w:rPr>
          <w:rFonts w:cs="Calibri"/>
          <w:i/>
          <w:color w:val="000000" w:themeColor="text1"/>
        </w:rPr>
        <w:t>Journal of Ecology</w:t>
      </w:r>
      <w:r w:rsidRPr="000118F9">
        <w:rPr>
          <w:rFonts w:cs="Calibri"/>
          <w:color w:val="000000" w:themeColor="text1"/>
        </w:rPr>
        <w:t xml:space="preserve"> 104 (5): 1299–1310. </w:t>
      </w:r>
      <w:hyperlink r:id="rId36">
        <w:r w:rsidRPr="000118F9">
          <w:rPr>
            <w:rStyle w:val="Hyperlink"/>
            <w:rFonts w:cs="Calibri"/>
            <w:color w:val="000000" w:themeColor="text1"/>
          </w:rPr>
          <w:t>https://doi.org/10.1111/1365-2745.12562</w:t>
        </w:r>
      </w:hyperlink>
      <w:r w:rsidRPr="000118F9">
        <w:rPr>
          <w:rFonts w:cs="Calibri"/>
          <w:color w:val="000000" w:themeColor="text1"/>
        </w:rPr>
        <w:t>.</w:t>
      </w:r>
    </w:p>
    <w:p w14:paraId="1148327A" w14:textId="77777777" w:rsidR="002639F7" w:rsidRPr="000118F9" w:rsidRDefault="00B04E25" w:rsidP="0017335D">
      <w:pPr>
        <w:pStyle w:val="Bibliography"/>
        <w:ind w:left="720" w:hanging="720"/>
        <w:rPr>
          <w:rFonts w:cs="Calibri"/>
          <w:color w:val="000000" w:themeColor="text1"/>
        </w:rPr>
      </w:pPr>
      <w:bookmarkStart w:id="44" w:name="ref-Lauenroth2008"/>
      <w:bookmarkEnd w:id="43"/>
      <w:r w:rsidRPr="000118F9">
        <w:rPr>
          <w:rFonts w:cs="Calibri"/>
          <w:color w:val="000000" w:themeColor="text1"/>
        </w:rPr>
        <w:t xml:space="preserve">Lauenroth, William K., and Peter B. Adler. 2008. “Demography of perennial grassland plants: Survival, life expectancy and life span.” </w:t>
      </w:r>
      <w:r w:rsidRPr="000118F9">
        <w:rPr>
          <w:rFonts w:cs="Calibri"/>
          <w:i/>
          <w:color w:val="000000" w:themeColor="text1"/>
        </w:rPr>
        <w:t>Journal of Ecology</w:t>
      </w:r>
      <w:r w:rsidRPr="000118F9">
        <w:rPr>
          <w:rFonts w:cs="Calibri"/>
          <w:color w:val="000000" w:themeColor="text1"/>
        </w:rPr>
        <w:t xml:space="preserve"> 96 (5): 1023–32. </w:t>
      </w:r>
      <w:hyperlink r:id="rId37">
        <w:r w:rsidRPr="000118F9">
          <w:rPr>
            <w:rStyle w:val="Hyperlink"/>
            <w:rFonts w:cs="Calibri"/>
            <w:color w:val="000000" w:themeColor="text1"/>
          </w:rPr>
          <w:t>https://doi.org/10.1111/j.1365-2745.2008.01415.x</w:t>
        </w:r>
      </w:hyperlink>
      <w:r w:rsidRPr="000118F9">
        <w:rPr>
          <w:rFonts w:cs="Calibri"/>
          <w:color w:val="000000" w:themeColor="text1"/>
        </w:rPr>
        <w:t>.</w:t>
      </w:r>
    </w:p>
    <w:p w14:paraId="19C53768" w14:textId="77777777" w:rsidR="002639F7" w:rsidRPr="000118F9" w:rsidRDefault="00B04E25" w:rsidP="0017335D">
      <w:pPr>
        <w:pStyle w:val="Bibliography"/>
        <w:ind w:left="720" w:hanging="720"/>
        <w:rPr>
          <w:rFonts w:cs="Calibri"/>
          <w:color w:val="000000" w:themeColor="text1"/>
        </w:rPr>
      </w:pPr>
      <w:bookmarkStart w:id="45" w:name="ref-Laughlin2020TheFitness"/>
      <w:bookmarkEnd w:id="44"/>
      <w:r w:rsidRPr="000118F9">
        <w:rPr>
          <w:rFonts w:cs="Calibri"/>
          <w:color w:val="000000" w:themeColor="text1"/>
        </w:rPr>
        <w:t xml:space="preserve">Laughlin, Daniel C., Jennifer R. Gremer, Peter B. Adler, Rachel M. Mitchell, and Margaret M. Moore. 2020. “The Net Effect of Functional Traits on Fitness.” </w:t>
      </w:r>
      <w:r w:rsidRPr="000118F9">
        <w:rPr>
          <w:rFonts w:cs="Calibri"/>
          <w:i/>
          <w:color w:val="000000" w:themeColor="text1"/>
        </w:rPr>
        <w:t>Trends in Ecology and Evolution</w:t>
      </w:r>
      <w:r w:rsidRPr="000118F9">
        <w:rPr>
          <w:rFonts w:cs="Calibri"/>
          <w:color w:val="000000" w:themeColor="text1"/>
        </w:rPr>
        <w:t xml:space="preserve"> 35 (11): 1037–47. </w:t>
      </w:r>
      <w:hyperlink r:id="rId38">
        <w:r w:rsidRPr="000118F9">
          <w:rPr>
            <w:rStyle w:val="Hyperlink"/>
            <w:rFonts w:cs="Calibri"/>
            <w:color w:val="000000" w:themeColor="text1"/>
          </w:rPr>
          <w:t>https://doi.org/10.1016/j.tree.2020.07.010</w:t>
        </w:r>
      </w:hyperlink>
      <w:r w:rsidRPr="000118F9">
        <w:rPr>
          <w:rFonts w:cs="Calibri"/>
          <w:color w:val="000000" w:themeColor="text1"/>
        </w:rPr>
        <w:t>.</w:t>
      </w:r>
    </w:p>
    <w:p w14:paraId="3DEB5664" w14:textId="77777777" w:rsidR="002639F7" w:rsidRPr="000118F9" w:rsidRDefault="00B04E25" w:rsidP="0017335D">
      <w:pPr>
        <w:pStyle w:val="Bibliography"/>
        <w:ind w:left="720" w:hanging="720"/>
        <w:rPr>
          <w:rFonts w:cs="Calibri"/>
          <w:color w:val="000000" w:themeColor="text1"/>
        </w:rPr>
      </w:pPr>
      <w:bookmarkStart w:id="46" w:name="ref-Laughlin2018"/>
      <w:bookmarkEnd w:id="45"/>
      <w:r w:rsidRPr="000118F9">
        <w:rPr>
          <w:rFonts w:cs="Calibri"/>
          <w:color w:val="000000" w:themeColor="text1"/>
        </w:rPr>
        <w:t xml:space="preserve">Laughlin, Daniel C., Robert T. Strahan, Peter B. Adler, and Margaret M. Moore. 2018. “Survival rates indicate that correlations between community-weighted mean traits and environments can be unreliable estimates of the adaptive value of traits.” </w:t>
      </w:r>
      <w:r w:rsidRPr="000118F9">
        <w:rPr>
          <w:rFonts w:cs="Calibri"/>
          <w:i/>
          <w:color w:val="000000" w:themeColor="text1"/>
        </w:rPr>
        <w:t>Ecology Letters</w:t>
      </w:r>
      <w:r w:rsidRPr="000118F9">
        <w:rPr>
          <w:rFonts w:cs="Calibri"/>
          <w:color w:val="000000" w:themeColor="text1"/>
        </w:rPr>
        <w:t xml:space="preserve">. </w:t>
      </w:r>
      <w:hyperlink r:id="rId39">
        <w:r w:rsidRPr="000118F9">
          <w:rPr>
            <w:rStyle w:val="Hyperlink"/>
            <w:rFonts w:cs="Calibri"/>
            <w:color w:val="000000" w:themeColor="text1"/>
          </w:rPr>
          <w:t>https://doi.org/10.1111/ele.12914</w:t>
        </w:r>
      </w:hyperlink>
      <w:r w:rsidRPr="000118F9">
        <w:rPr>
          <w:rFonts w:cs="Calibri"/>
          <w:color w:val="000000" w:themeColor="text1"/>
        </w:rPr>
        <w:t>.</w:t>
      </w:r>
    </w:p>
    <w:p w14:paraId="085E0A5B" w14:textId="77777777" w:rsidR="002639F7" w:rsidRPr="000118F9" w:rsidRDefault="00B04E25" w:rsidP="0017335D">
      <w:pPr>
        <w:pStyle w:val="Bibliography"/>
        <w:ind w:left="720" w:hanging="720"/>
        <w:rPr>
          <w:rFonts w:cs="Calibri"/>
          <w:color w:val="000000" w:themeColor="text1"/>
        </w:rPr>
      </w:pPr>
      <w:bookmarkStart w:id="47" w:name="ref-Luo2019LongGrasslands"/>
      <w:bookmarkEnd w:id="46"/>
      <w:r w:rsidRPr="000118F9">
        <w:rPr>
          <w:rFonts w:cs="Calibri"/>
          <w:color w:val="000000" w:themeColor="text1"/>
        </w:rPr>
        <w:t xml:space="preserve">Luo, Wentao, Xiaoan Zuo, Robert J. Griffin-Nolan, Chong Xu, Wang Ma, Lin Song, Kenny Helsen, et al. 2019. “Long term experimental drought alters community plant trait variation, not trait means, across three semiarid grasslands.” </w:t>
      </w:r>
      <w:r w:rsidRPr="000118F9">
        <w:rPr>
          <w:rFonts w:cs="Calibri"/>
          <w:i/>
          <w:color w:val="000000" w:themeColor="text1"/>
        </w:rPr>
        <w:t>Plant and Soil</w:t>
      </w:r>
      <w:r w:rsidRPr="000118F9">
        <w:rPr>
          <w:rFonts w:cs="Calibri"/>
          <w:color w:val="000000" w:themeColor="text1"/>
        </w:rPr>
        <w:t xml:space="preserve"> 442 (1-2): 343–53. </w:t>
      </w:r>
      <w:hyperlink r:id="rId40">
        <w:r w:rsidRPr="000118F9">
          <w:rPr>
            <w:rStyle w:val="Hyperlink"/>
            <w:rFonts w:cs="Calibri"/>
            <w:color w:val="000000" w:themeColor="text1"/>
          </w:rPr>
          <w:t>https://doi.org/10.1007/s11104-019-04176-w</w:t>
        </w:r>
      </w:hyperlink>
      <w:r w:rsidRPr="000118F9">
        <w:rPr>
          <w:rFonts w:cs="Calibri"/>
          <w:color w:val="000000" w:themeColor="text1"/>
        </w:rPr>
        <w:t>.</w:t>
      </w:r>
    </w:p>
    <w:p w14:paraId="1ABFF83D" w14:textId="77777777" w:rsidR="002639F7" w:rsidRPr="000118F9" w:rsidRDefault="00B04E25" w:rsidP="0017335D">
      <w:pPr>
        <w:pStyle w:val="Bibliography"/>
        <w:ind w:left="720" w:hanging="720"/>
        <w:rPr>
          <w:rFonts w:cs="Calibri"/>
          <w:color w:val="000000" w:themeColor="text1"/>
        </w:rPr>
      </w:pPr>
      <w:bookmarkStart w:id="48" w:name="ref-McCormack2015"/>
      <w:bookmarkEnd w:id="47"/>
      <w:r w:rsidRPr="000118F9">
        <w:rPr>
          <w:rFonts w:cs="Calibri"/>
          <w:color w:val="000000" w:themeColor="text1"/>
        </w:rPr>
        <w:t xml:space="preserve">McCormack, M. Luke, Ian A. Dickie, David M. Eissenstat, Timothy J. Fahey, Christopher W. Fernandez, Dali Guo, Heljä Sisko Helmisaari, et al. 2015. “Redefining fine roots improves understanding of below-ground contributions to terrestrial biosphere processes.” </w:t>
      </w:r>
      <w:r w:rsidRPr="000118F9">
        <w:rPr>
          <w:rFonts w:cs="Calibri"/>
          <w:i/>
          <w:color w:val="000000" w:themeColor="text1"/>
        </w:rPr>
        <w:t>New Phytologist</w:t>
      </w:r>
      <w:r w:rsidRPr="000118F9">
        <w:rPr>
          <w:rFonts w:cs="Calibri"/>
          <w:color w:val="000000" w:themeColor="text1"/>
        </w:rPr>
        <w:t xml:space="preserve"> 207 (3): 505–18. </w:t>
      </w:r>
      <w:hyperlink r:id="rId41">
        <w:r w:rsidRPr="000118F9">
          <w:rPr>
            <w:rStyle w:val="Hyperlink"/>
            <w:rFonts w:cs="Calibri"/>
            <w:color w:val="000000" w:themeColor="text1"/>
          </w:rPr>
          <w:t>https://doi.org/10.1111/nph.13363</w:t>
        </w:r>
      </w:hyperlink>
      <w:r w:rsidRPr="000118F9">
        <w:rPr>
          <w:rFonts w:cs="Calibri"/>
          <w:color w:val="000000" w:themeColor="text1"/>
        </w:rPr>
        <w:t>.</w:t>
      </w:r>
    </w:p>
    <w:p w14:paraId="51A2F1F5" w14:textId="77777777" w:rsidR="002639F7" w:rsidRPr="000118F9" w:rsidRDefault="00B04E25" w:rsidP="0017335D">
      <w:pPr>
        <w:pStyle w:val="Bibliography"/>
        <w:ind w:left="720" w:hanging="720"/>
        <w:rPr>
          <w:rFonts w:cs="Calibri"/>
          <w:color w:val="000000" w:themeColor="text1"/>
        </w:rPr>
      </w:pPr>
      <w:bookmarkStart w:id="49" w:name="ref-McDowell2008MechanismsDrought"/>
      <w:bookmarkEnd w:id="48"/>
      <w:r w:rsidRPr="000118F9">
        <w:rPr>
          <w:rFonts w:cs="Calibri"/>
          <w:color w:val="000000" w:themeColor="text1"/>
        </w:rPr>
        <w:t xml:space="preserve">McDowell, Nate, William T. Pockman, Craig D. Allen, David D. Breshears, Neil Cobb, Thomas Kolb, Jennifer Plaut, et al. 2008. “Mechanisms of plant survival and mortality during drought: Why do some plants survive while others succumb to drought?” </w:t>
      </w:r>
      <w:r w:rsidRPr="000118F9">
        <w:rPr>
          <w:rFonts w:cs="Calibri"/>
          <w:i/>
          <w:color w:val="000000" w:themeColor="text1"/>
        </w:rPr>
        <w:t>New Phytologist</w:t>
      </w:r>
      <w:r w:rsidRPr="000118F9">
        <w:rPr>
          <w:rFonts w:cs="Calibri"/>
          <w:color w:val="000000" w:themeColor="text1"/>
        </w:rPr>
        <w:t xml:space="preserve"> 178 (4): 719–39. </w:t>
      </w:r>
      <w:hyperlink r:id="rId42">
        <w:r w:rsidRPr="000118F9">
          <w:rPr>
            <w:rStyle w:val="Hyperlink"/>
            <w:rFonts w:cs="Calibri"/>
            <w:color w:val="000000" w:themeColor="text1"/>
          </w:rPr>
          <w:t>https://doi.org/10.1111/j.1469-8137.2008.02436.x</w:t>
        </w:r>
      </w:hyperlink>
      <w:r w:rsidRPr="000118F9">
        <w:rPr>
          <w:rFonts w:cs="Calibri"/>
          <w:color w:val="000000" w:themeColor="text1"/>
        </w:rPr>
        <w:t>.</w:t>
      </w:r>
    </w:p>
    <w:p w14:paraId="73292DE0" w14:textId="77777777" w:rsidR="002639F7" w:rsidRPr="000118F9" w:rsidRDefault="00B04E25" w:rsidP="0017335D">
      <w:pPr>
        <w:pStyle w:val="Bibliography"/>
        <w:ind w:left="720" w:hanging="720"/>
        <w:rPr>
          <w:rFonts w:cs="Calibri"/>
          <w:color w:val="000000" w:themeColor="text1"/>
        </w:rPr>
      </w:pPr>
      <w:bookmarkStart w:id="50" w:name="ref-Mcgill2006"/>
      <w:bookmarkEnd w:id="49"/>
      <w:r w:rsidRPr="000118F9">
        <w:rPr>
          <w:rFonts w:cs="Calibri"/>
          <w:color w:val="000000" w:themeColor="text1"/>
        </w:rPr>
        <w:t xml:space="preserve">McGill, Brian J., Brian J. Enquist, Evan Weiher, and Mark Westoby. 2006. “Rebuilding community ecology from functional traits.” </w:t>
      </w:r>
      <w:r w:rsidRPr="000118F9">
        <w:rPr>
          <w:rFonts w:cs="Calibri"/>
          <w:i/>
          <w:color w:val="000000" w:themeColor="text1"/>
        </w:rPr>
        <w:t>Trends in Ecology and Evolution</w:t>
      </w:r>
      <w:r w:rsidRPr="000118F9">
        <w:rPr>
          <w:rFonts w:cs="Calibri"/>
          <w:color w:val="000000" w:themeColor="text1"/>
        </w:rPr>
        <w:t xml:space="preserve"> 21 (4): 178–85. </w:t>
      </w:r>
      <w:hyperlink r:id="rId43">
        <w:r w:rsidRPr="000118F9">
          <w:rPr>
            <w:rStyle w:val="Hyperlink"/>
            <w:rFonts w:cs="Calibri"/>
            <w:color w:val="000000" w:themeColor="text1"/>
          </w:rPr>
          <w:t>https://doi.org/10.1016/j.tree.2006.02.002</w:t>
        </w:r>
      </w:hyperlink>
      <w:r w:rsidRPr="000118F9">
        <w:rPr>
          <w:rFonts w:cs="Calibri"/>
          <w:color w:val="000000" w:themeColor="text1"/>
        </w:rPr>
        <w:t>.</w:t>
      </w:r>
    </w:p>
    <w:p w14:paraId="0DD1DD78" w14:textId="77777777" w:rsidR="002639F7" w:rsidRPr="000118F9" w:rsidRDefault="00B04E25" w:rsidP="0017335D">
      <w:pPr>
        <w:pStyle w:val="Bibliography"/>
        <w:ind w:left="720" w:hanging="720"/>
        <w:rPr>
          <w:rFonts w:cs="Calibri"/>
          <w:color w:val="000000" w:themeColor="text1"/>
        </w:rPr>
      </w:pPr>
      <w:bookmarkStart w:id="51" w:name="ref-Niinemets2001Global-scaleShrubs"/>
      <w:bookmarkEnd w:id="50"/>
      <w:r w:rsidRPr="000118F9">
        <w:rPr>
          <w:rFonts w:cs="Calibri"/>
          <w:color w:val="000000" w:themeColor="text1"/>
        </w:rPr>
        <w:lastRenderedPageBreak/>
        <w:t xml:space="preserve">Niinemets, Ü. 2001. “Global-scale climatic controls of leaf dry mass per area, density, and thickness in trees and shrubs.” </w:t>
      </w:r>
      <w:r w:rsidRPr="000118F9">
        <w:rPr>
          <w:rFonts w:cs="Calibri"/>
          <w:i/>
          <w:color w:val="000000" w:themeColor="text1"/>
        </w:rPr>
        <w:t>Ecology</w:t>
      </w:r>
      <w:r w:rsidRPr="000118F9">
        <w:rPr>
          <w:rFonts w:cs="Calibri"/>
          <w:color w:val="000000" w:themeColor="text1"/>
        </w:rPr>
        <w:t xml:space="preserve"> 82 (2): 453–69. </w:t>
      </w:r>
      <w:hyperlink r:id="rId44">
        <w:r w:rsidRPr="000118F9">
          <w:rPr>
            <w:rStyle w:val="Hyperlink"/>
            <w:rFonts w:cs="Calibri"/>
            <w:color w:val="000000" w:themeColor="text1"/>
          </w:rPr>
          <w:t>https://doi.org/10.1890/0012-9658(2001)082[0453:GSCCOL]2.0.CO;2</w:t>
        </w:r>
      </w:hyperlink>
      <w:r w:rsidRPr="000118F9">
        <w:rPr>
          <w:rFonts w:cs="Calibri"/>
          <w:color w:val="000000" w:themeColor="text1"/>
        </w:rPr>
        <w:t>.</w:t>
      </w:r>
    </w:p>
    <w:p w14:paraId="4729F812" w14:textId="77777777" w:rsidR="002639F7" w:rsidRPr="000118F9" w:rsidRDefault="00B04E25" w:rsidP="0017335D">
      <w:pPr>
        <w:pStyle w:val="Bibliography"/>
        <w:ind w:left="720" w:hanging="720"/>
        <w:rPr>
          <w:rFonts w:cs="Calibri"/>
          <w:color w:val="000000" w:themeColor="text1"/>
        </w:rPr>
      </w:pPr>
      <w:bookmarkStart w:id="52" w:name="ref-Niinemets1999ComponentsPlants"/>
      <w:bookmarkEnd w:id="51"/>
      <w:r w:rsidRPr="000118F9">
        <w:rPr>
          <w:rFonts w:cs="Calibri"/>
          <w:color w:val="000000" w:themeColor="text1"/>
        </w:rPr>
        <w:t xml:space="preserve">Niinemets, Ülo. 1999. “Components of leaf dry mass per area - thickness and density - alter leaf photosynthetic capacity in reverse directions in woody plants.” </w:t>
      </w:r>
      <w:r w:rsidRPr="000118F9">
        <w:rPr>
          <w:rFonts w:cs="Calibri"/>
          <w:i/>
          <w:color w:val="000000" w:themeColor="text1"/>
        </w:rPr>
        <w:t>New Phytologist</w:t>
      </w:r>
      <w:r w:rsidRPr="000118F9">
        <w:rPr>
          <w:rFonts w:cs="Calibri"/>
          <w:color w:val="000000" w:themeColor="text1"/>
        </w:rPr>
        <w:t xml:space="preserve"> 144 (1): 35–47. </w:t>
      </w:r>
      <w:hyperlink r:id="rId45">
        <w:r w:rsidRPr="000118F9">
          <w:rPr>
            <w:rStyle w:val="Hyperlink"/>
            <w:rFonts w:cs="Calibri"/>
            <w:color w:val="000000" w:themeColor="text1"/>
          </w:rPr>
          <w:t>https://doi.org/10.1046/j.1469-8137.1999.00466.x</w:t>
        </w:r>
      </w:hyperlink>
      <w:r w:rsidRPr="000118F9">
        <w:rPr>
          <w:rFonts w:cs="Calibri"/>
          <w:color w:val="000000" w:themeColor="text1"/>
        </w:rPr>
        <w:t>.</w:t>
      </w:r>
    </w:p>
    <w:p w14:paraId="301E9C36" w14:textId="77777777" w:rsidR="002639F7" w:rsidRPr="000118F9" w:rsidRDefault="00B04E25" w:rsidP="0017335D">
      <w:pPr>
        <w:pStyle w:val="Bibliography"/>
        <w:ind w:left="720" w:hanging="720"/>
        <w:rPr>
          <w:rFonts w:cs="Calibri"/>
          <w:color w:val="000000" w:themeColor="text1"/>
        </w:rPr>
      </w:pPr>
      <w:bookmarkStart w:id="53" w:name="ref-Nunes2017WhichDrylands"/>
      <w:bookmarkEnd w:id="52"/>
      <w:r w:rsidRPr="000118F9">
        <w:rPr>
          <w:rFonts w:cs="Calibri"/>
          <w:color w:val="000000" w:themeColor="text1"/>
        </w:rPr>
        <w:t xml:space="preserve">Nunes, Alice, Melanie Köbel, Pedro Pinho, Paula Matos, Francesco de Bello, Otília Correia, and Cristina Branquinho. 2017. “Which plant traits respond to aridity? A critical step to assess functional diversity in Mediterranean drylands.” </w:t>
      </w:r>
      <w:r w:rsidRPr="000118F9">
        <w:rPr>
          <w:rFonts w:cs="Calibri"/>
          <w:i/>
          <w:color w:val="000000" w:themeColor="text1"/>
        </w:rPr>
        <w:t>Agricultural and Forest Meteorology</w:t>
      </w:r>
      <w:r w:rsidRPr="000118F9">
        <w:rPr>
          <w:rFonts w:cs="Calibri"/>
          <w:color w:val="000000" w:themeColor="text1"/>
        </w:rPr>
        <w:t xml:space="preserve"> 239: 176–84. </w:t>
      </w:r>
      <w:hyperlink r:id="rId46">
        <w:r w:rsidRPr="000118F9">
          <w:rPr>
            <w:rStyle w:val="Hyperlink"/>
            <w:rFonts w:cs="Calibri"/>
            <w:color w:val="000000" w:themeColor="text1"/>
          </w:rPr>
          <w:t>https://doi.org/10.1016/j.agrformet.2017.03.007</w:t>
        </w:r>
      </w:hyperlink>
      <w:r w:rsidRPr="000118F9">
        <w:rPr>
          <w:rFonts w:cs="Calibri"/>
          <w:color w:val="000000" w:themeColor="text1"/>
        </w:rPr>
        <w:t>.</w:t>
      </w:r>
    </w:p>
    <w:p w14:paraId="215B9D02" w14:textId="77777777" w:rsidR="002639F7" w:rsidRPr="000118F9" w:rsidRDefault="00B04E25" w:rsidP="0017335D">
      <w:pPr>
        <w:pStyle w:val="Bibliography"/>
        <w:ind w:left="720" w:hanging="720"/>
        <w:rPr>
          <w:rFonts w:cs="Calibri"/>
          <w:color w:val="000000" w:themeColor="text1"/>
        </w:rPr>
      </w:pPr>
      <w:bookmarkStart w:id="54" w:name="ref-Perez-Harguindeguy2013"/>
      <w:bookmarkEnd w:id="53"/>
      <w:r w:rsidRPr="000118F9">
        <w:rPr>
          <w:rFonts w:cs="Calibri"/>
          <w:color w:val="000000" w:themeColor="text1"/>
        </w:rPr>
        <w:t xml:space="preserve">Pérez-Harguindeguy, N., S. Diaz, E. Garnier, S. Lavorel, H. Poorter, P. Jaureguiberry, M. S. S. Bret-Harte, et al. 2013. “New Handbook for standardized measurment of plant functional traits worldwide.” </w:t>
      </w:r>
      <w:r w:rsidRPr="000118F9">
        <w:rPr>
          <w:rFonts w:cs="Calibri"/>
          <w:i/>
          <w:color w:val="000000" w:themeColor="text1"/>
        </w:rPr>
        <w:t>Australian Journal of Botany</w:t>
      </w:r>
      <w:r w:rsidRPr="000118F9">
        <w:rPr>
          <w:rFonts w:cs="Calibri"/>
          <w:color w:val="000000" w:themeColor="text1"/>
        </w:rPr>
        <w:t xml:space="preserve"> 61 (34): 167–234. </w:t>
      </w:r>
      <w:hyperlink r:id="rId47">
        <w:r w:rsidRPr="000118F9">
          <w:rPr>
            <w:rStyle w:val="Hyperlink"/>
            <w:rFonts w:cs="Calibri"/>
            <w:color w:val="000000" w:themeColor="text1"/>
          </w:rPr>
          <w:t>https://doi.org/http://dx.doi.org/10.1071/BT12225</w:t>
        </w:r>
      </w:hyperlink>
      <w:r w:rsidRPr="000118F9">
        <w:rPr>
          <w:rFonts w:cs="Calibri"/>
          <w:color w:val="000000" w:themeColor="text1"/>
        </w:rPr>
        <w:t>.</w:t>
      </w:r>
    </w:p>
    <w:p w14:paraId="52A323F3" w14:textId="77777777" w:rsidR="002639F7" w:rsidRPr="000118F9" w:rsidRDefault="00B04E25" w:rsidP="0017335D">
      <w:pPr>
        <w:pStyle w:val="Bibliography"/>
        <w:ind w:left="720" w:hanging="720"/>
        <w:rPr>
          <w:rFonts w:cs="Calibri"/>
          <w:color w:val="000000" w:themeColor="text1"/>
        </w:rPr>
      </w:pPr>
      <w:bookmarkStart w:id="55" w:name="ref-Ploughe2019CommunityInteractions"/>
      <w:bookmarkEnd w:id="54"/>
      <w:r w:rsidRPr="000118F9">
        <w:rPr>
          <w:rFonts w:cs="Calibri"/>
          <w:color w:val="000000" w:themeColor="text1"/>
        </w:rPr>
        <w:t xml:space="preserve">Ploughe, Laura W., Elin M. Jacobs, Graham S. Frank, Skye M. Greenler, Melinda D. Smith, and Jeffrey S. Dukes. 2019. “Community Response to Extreme Drought (CRED): a framework for drought-induced shifts in plant–plant interactions.” </w:t>
      </w:r>
      <w:r w:rsidRPr="000118F9">
        <w:rPr>
          <w:rFonts w:cs="Calibri"/>
          <w:i/>
          <w:color w:val="000000" w:themeColor="text1"/>
        </w:rPr>
        <w:t>New Phytologist</w:t>
      </w:r>
      <w:r w:rsidRPr="000118F9">
        <w:rPr>
          <w:rFonts w:cs="Calibri"/>
          <w:color w:val="000000" w:themeColor="text1"/>
        </w:rPr>
        <w:t xml:space="preserve"> 222 (1): 52–69. </w:t>
      </w:r>
      <w:hyperlink r:id="rId48">
        <w:r w:rsidRPr="000118F9">
          <w:rPr>
            <w:rStyle w:val="Hyperlink"/>
            <w:rFonts w:cs="Calibri"/>
            <w:color w:val="000000" w:themeColor="text1"/>
          </w:rPr>
          <w:t>https://doi.org/10.1111/nph.15595</w:t>
        </w:r>
      </w:hyperlink>
      <w:r w:rsidRPr="000118F9">
        <w:rPr>
          <w:rFonts w:cs="Calibri"/>
          <w:color w:val="000000" w:themeColor="text1"/>
        </w:rPr>
        <w:t>.</w:t>
      </w:r>
    </w:p>
    <w:p w14:paraId="57A71364" w14:textId="77777777" w:rsidR="002639F7" w:rsidRPr="000118F9" w:rsidRDefault="00B04E25" w:rsidP="0017335D">
      <w:pPr>
        <w:pStyle w:val="Bibliography"/>
        <w:ind w:left="720" w:hanging="720"/>
        <w:rPr>
          <w:rFonts w:cs="Calibri"/>
          <w:color w:val="000000" w:themeColor="text1"/>
        </w:rPr>
      </w:pPr>
      <w:bookmarkStart w:id="56" w:name="ref-Poorter2009CausesMeta-analysis"/>
      <w:bookmarkEnd w:id="55"/>
      <w:r w:rsidRPr="000118F9">
        <w:rPr>
          <w:rFonts w:cs="Calibri"/>
          <w:color w:val="000000" w:themeColor="text1"/>
        </w:rPr>
        <w:t xml:space="preserve">Poorter, Hendrik, Ülo Niinemets, Lourens Poorter, Ian J. Wright, and Rafael Villar. 2009. “Causes and consequences of variation in leaf mass per area (LMA): A meta-analysis.” </w:t>
      </w:r>
      <w:r w:rsidRPr="000118F9">
        <w:rPr>
          <w:rFonts w:cs="Calibri"/>
          <w:i/>
          <w:color w:val="000000" w:themeColor="text1"/>
        </w:rPr>
        <w:t>New Phytologist</w:t>
      </w:r>
      <w:r w:rsidRPr="000118F9">
        <w:rPr>
          <w:rFonts w:cs="Calibri"/>
          <w:color w:val="000000" w:themeColor="text1"/>
        </w:rPr>
        <w:t xml:space="preserve"> 182 (3): 565–88. </w:t>
      </w:r>
      <w:hyperlink r:id="rId49">
        <w:r w:rsidRPr="000118F9">
          <w:rPr>
            <w:rStyle w:val="Hyperlink"/>
            <w:rFonts w:cs="Calibri"/>
            <w:color w:val="000000" w:themeColor="text1"/>
          </w:rPr>
          <w:t>https://doi.org/10.1111/j.1469-8137.2009.02830.x</w:t>
        </w:r>
      </w:hyperlink>
      <w:r w:rsidRPr="000118F9">
        <w:rPr>
          <w:rFonts w:cs="Calibri"/>
          <w:color w:val="000000" w:themeColor="text1"/>
        </w:rPr>
        <w:t>.</w:t>
      </w:r>
    </w:p>
    <w:p w14:paraId="3F9FD5AB" w14:textId="77777777" w:rsidR="002639F7" w:rsidRPr="000118F9" w:rsidRDefault="00B04E25" w:rsidP="0017335D">
      <w:pPr>
        <w:pStyle w:val="Bibliography"/>
        <w:ind w:left="720" w:hanging="720"/>
        <w:rPr>
          <w:rFonts w:cs="Calibri"/>
          <w:color w:val="000000" w:themeColor="text1"/>
        </w:rPr>
      </w:pPr>
      <w:bookmarkStart w:id="57" w:name="ref-RCoreTeam2019"/>
      <w:bookmarkEnd w:id="56"/>
      <w:r w:rsidRPr="000118F9">
        <w:rPr>
          <w:rFonts w:cs="Calibri"/>
          <w:color w:val="000000" w:themeColor="text1"/>
        </w:rPr>
        <w:t xml:space="preserve">R Core Team. 2019. </w:t>
      </w:r>
      <w:r w:rsidRPr="000118F9">
        <w:rPr>
          <w:rFonts w:cs="Calibri"/>
          <w:i/>
          <w:color w:val="000000" w:themeColor="text1"/>
        </w:rPr>
        <w:t>R: A language and environment for statistical computing</w:t>
      </w:r>
      <w:r w:rsidRPr="000118F9">
        <w:rPr>
          <w:rFonts w:cs="Calibri"/>
          <w:color w:val="000000" w:themeColor="text1"/>
        </w:rPr>
        <w:t xml:space="preserve">. Vienna, Austria. </w:t>
      </w:r>
      <w:hyperlink r:id="rId50">
        <w:r w:rsidRPr="000118F9">
          <w:rPr>
            <w:rStyle w:val="Hyperlink"/>
            <w:rFonts w:cs="Calibri"/>
            <w:color w:val="000000" w:themeColor="text1"/>
          </w:rPr>
          <w:t>https://www.r_project.org</w:t>
        </w:r>
      </w:hyperlink>
      <w:r w:rsidRPr="000118F9">
        <w:rPr>
          <w:rFonts w:cs="Calibri"/>
          <w:color w:val="000000" w:themeColor="text1"/>
        </w:rPr>
        <w:t>.</w:t>
      </w:r>
    </w:p>
    <w:p w14:paraId="71D4E200" w14:textId="77777777" w:rsidR="002639F7" w:rsidRPr="000118F9" w:rsidRDefault="00B04E25" w:rsidP="0017335D">
      <w:pPr>
        <w:pStyle w:val="Bibliography"/>
        <w:ind w:left="720" w:hanging="720"/>
        <w:rPr>
          <w:rFonts w:cs="Calibri"/>
          <w:color w:val="000000" w:themeColor="text1"/>
        </w:rPr>
      </w:pPr>
      <w:bookmarkStart w:id="58" w:name="ref-Reich2014"/>
      <w:bookmarkEnd w:id="57"/>
      <w:r w:rsidRPr="000118F9">
        <w:rPr>
          <w:rFonts w:cs="Calibri"/>
          <w:color w:val="000000" w:themeColor="text1"/>
        </w:rPr>
        <w:t xml:space="preserve">Reich, Peter B. 2014. “The world-wide ’fast-slow’ plant economics spectrum: A traits manifesto.” </w:t>
      </w:r>
      <w:r w:rsidRPr="000118F9">
        <w:rPr>
          <w:rFonts w:cs="Calibri"/>
          <w:i/>
          <w:color w:val="000000" w:themeColor="text1"/>
        </w:rPr>
        <w:t>Journal of Ecology</w:t>
      </w:r>
      <w:r w:rsidRPr="000118F9">
        <w:rPr>
          <w:rFonts w:cs="Calibri"/>
          <w:color w:val="000000" w:themeColor="text1"/>
        </w:rPr>
        <w:t xml:space="preserve"> 102 (2): 275–301. </w:t>
      </w:r>
      <w:hyperlink r:id="rId51">
        <w:r w:rsidRPr="000118F9">
          <w:rPr>
            <w:rStyle w:val="Hyperlink"/>
            <w:rFonts w:cs="Calibri"/>
            <w:color w:val="000000" w:themeColor="text1"/>
          </w:rPr>
          <w:t>https://doi.org/10.1111/1365-2745.12211</w:t>
        </w:r>
      </w:hyperlink>
      <w:r w:rsidRPr="000118F9">
        <w:rPr>
          <w:rFonts w:cs="Calibri"/>
          <w:color w:val="000000" w:themeColor="text1"/>
        </w:rPr>
        <w:t>.</w:t>
      </w:r>
    </w:p>
    <w:p w14:paraId="0EEF14E3" w14:textId="77777777" w:rsidR="002639F7" w:rsidRPr="000118F9" w:rsidRDefault="00B04E25" w:rsidP="0017335D">
      <w:pPr>
        <w:pStyle w:val="Bibliography"/>
        <w:ind w:left="720" w:hanging="720"/>
        <w:rPr>
          <w:rFonts w:cs="Calibri"/>
          <w:color w:val="000000" w:themeColor="text1"/>
        </w:rPr>
      </w:pPr>
      <w:bookmarkStart w:id="59" w:name="ref-Salguero-Gomez2012"/>
      <w:bookmarkEnd w:id="58"/>
      <w:r w:rsidRPr="000118F9">
        <w:rPr>
          <w:rFonts w:cs="Calibri"/>
          <w:color w:val="000000" w:themeColor="text1"/>
        </w:rPr>
        <w:t xml:space="preserve">Salguero-Gómez, Roberto, Wolfgang Siewert, Brenda B. Casper, and Katja Tielbörger. 2012. “A demographic approach to study effects of climate change in desert plants.” </w:t>
      </w:r>
      <w:r w:rsidRPr="000118F9">
        <w:rPr>
          <w:rFonts w:cs="Calibri"/>
          <w:i/>
          <w:color w:val="000000" w:themeColor="text1"/>
        </w:rPr>
        <w:t>Philosophical Transactions of the Royal Society B: Biological Sciences</w:t>
      </w:r>
      <w:r w:rsidRPr="000118F9">
        <w:rPr>
          <w:rFonts w:cs="Calibri"/>
          <w:color w:val="000000" w:themeColor="text1"/>
        </w:rPr>
        <w:t xml:space="preserve"> 367 (1606): 3100–3114. </w:t>
      </w:r>
      <w:hyperlink r:id="rId52">
        <w:r w:rsidRPr="000118F9">
          <w:rPr>
            <w:rStyle w:val="Hyperlink"/>
            <w:rFonts w:cs="Calibri"/>
            <w:color w:val="000000" w:themeColor="text1"/>
          </w:rPr>
          <w:t>https://doi.org/10.1098/rstb.2012.0074</w:t>
        </w:r>
      </w:hyperlink>
      <w:r w:rsidRPr="000118F9">
        <w:rPr>
          <w:rFonts w:cs="Calibri"/>
          <w:color w:val="000000" w:themeColor="text1"/>
        </w:rPr>
        <w:t>.</w:t>
      </w:r>
    </w:p>
    <w:p w14:paraId="0500F7C0" w14:textId="77777777" w:rsidR="002639F7" w:rsidRPr="000118F9" w:rsidRDefault="00B04E25" w:rsidP="0017335D">
      <w:pPr>
        <w:pStyle w:val="Bibliography"/>
        <w:ind w:left="720" w:hanging="720"/>
        <w:rPr>
          <w:rFonts w:cs="Calibri"/>
          <w:color w:val="000000" w:themeColor="text1"/>
        </w:rPr>
      </w:pPr>
      <w:bookmarkStart w:id="60" w:name="ref-Tredennick2017"/>
      <w:bookmarkEnd w:id="59"/>
      <w:r w:rsidRPr="000118F9">
        <w:rPr>
          <w:rFonts w:cs="Calibri"/>
          <w:color w:val="000000" w:themeColor="text1"/>
        </w:rPr>
        <w:t xml:space="preserve">Tredennick, Andrew T., Mevin B. Hooten, and Peter B. Adler. 2017. “Do we need demographic data to forecast plant population dynamics?” </w:t>
      </w:r>
      <w:r w:rsidRPr="000118F9">
        <w:rPr>
          <w:rFonts w:cs="Calibri"/>
          <w:i/>
          <w:color w:val="000000" w:themeColor="text1"/>
        </w:rPr>
        <w:t>Methods in Ecology and Evolution</w:t>
      </w:r>
      <w:r w:rsidRPr="000118F9">
        <w:rPr>
          <w:rFonts w:cs="Calibri"/>
          <w:color w:val="000000" w:themeColor="text1"/>
        </w:rPr>
        <w:t xml:space="preserve"> 8 (5): 541–51. </w:t>
      </w:r>
      <w:hyperlink r:id="rId53">
        <w:r w:rsidRPr="000118F9">
          <w:rPr>
            <w:rStyle w:val="Hyperlink"/>
            <w:rFonts w:cs="Calibri"/>
            <w:color w:val="000000" w:themeColor="text1"/>
          </w:rPr>
          <w:t>https://doi.org/10.1111/2041-210X.12686</w:t>
        </w:r>
      </w:hyperlink>
      <w:r w:rsidRPr="000118F9">
        <w:rPr>
          <w:rFonts w:cs="Calibri"/>
          <w:color w:val="000000" w:themeColor="text1"/>
        </w:rPr>
        <w:t>.</w:t>
      </w:r>
    </w:p>
    <w:p w14:paraId="112D2578" w14:textId="77777777" w:rsidR="002639F7" w:rsidRPr="000118F9" w:rsidRDefault="00B04E25" w:rsidP="0017335D">
      <w:pPr>
        <w:pStyle w:val="Bibliography"/>
        <w:ind w:left="720" w:hanging="720"/>
        <w:rPr>
          <w:rFonts w:cs="Calibri"/>
          <w:color w:val="000000" w:themeColor="text1"/>
        </w:rPr>
      </w:pPr>
      <w:bookmarkStart w:id="61" w:name="ref-Tredennick2018"/>
      <w:bookmarkEnd w:id="60"/>
      <w:r w:rsidRPr="000118F9">
        <w:rPr>
          <w:rFonts w:cs="Calibri"/>
          <w:color w:val="000000" w:themeColor="text1"/>
        </w:rPr>
        <w:t xml:space="preserve">Tredennick, Andrew T., Brittany J Teller, Peter B. Adler, Giles Hooker, and Stephen P. Ellner. 2018. “Size-by-environment interactions: a neglected dimension of species’ responses to environmental variation.” </w:t>
      </w:r>
      <w:r w:rsidRPr="000118F9">
        <w:rPr>
          <w:rFonts w:cs="Calibri"/>
          <w:i/>
          <w:color w:val="000000" w:themeColor="text1"/>
        </w:rPr>
        <w:t>Ecology Letters</w:t>
      </w:r>
      <w:r w:rsidRPr="000118F9">
        <w:rPr>
          <w:rFonts w:cs="Calibri"/>
          <w:color w:val="000000" w:themeColor="text1"/>
        </w:rPr>
        <w:t xml:space="preserve">, 1757–70. </w:t>
      </w:r>
      <w:hyperlink r:id="rId54">
        <w:r w:rsidRPr="000118F9">
          <w:rPr>
            <w:rStyle w:val="Hyperlink"/>
            <w:rFonts w:cs="Calibri"/>
            <w:color w:val="000000" w:themeColor="text1"/>
          </w:rPr>
          <w:t>https://doi.org/10.1111/ele.13154</w:t>
        </w:r>
      </w:hyperlink>
      <w:r w:rsidRPr="000118F9">
        <w:rPr>
          <w:rFonts w:cs="Calibri"/>
          <w:color w:val="000000" w:themeColor="text1"/>
        </w:rPr>
        <w:t>.</w:t>
      </w:r>
    </w:p>
    <w:p w14:paraId="0C032039" w14:textId="77777777" w:rsidR="002639F7" w:rsidRPr="000118F9" w:rsidRDefault="00B04E25" w:rsidP="0017335D">
      <w:pPr>
        <w:pStyle w:val="Bibliography"/>
        <w:ind w:left="720" w:hanging="720"/>
        <w:rPr>
          <w:rFonts w:cs="Calibri"/>
          <w:color w:val="000000" w:themeColor="text1"/>
        </w:rPr>
      </w:pPr>
      <w:bookmarkStart w:id="62" w:name="ref-Vicente-Serrano2020AWarming"/>
      <w:bookmarkEnd w:id="61"/>
      <w:r w:rsidRPr="000118F9">
        <w:rPr>
          <w:rFonts w:cs="Calibri"/>
          <w:color w:val="000000" w:themeColor="text1"/>
        </w:rPr>
        <w:lastRenderedPageBreak/>
        <w:t xml:space="preserve">Vicente-Serrano, Sergio M., Steven M. Quiring, Marina Peña-Gallardo, Shanshui Yuan, and Fernando Domínguez-Castro. 2020. “A review of environmental droughts: Increased risk under global warming?” </w:t>
      </w:r>
      <w:r w:rsidRPr="000118F9">
        <w:rPr>
          <w:rFonts w:cs="Calibri"/>
          <w:i/>
          <w:color w:val="000000" w:themeColor="text1"/>
        </w:rPr>
        <w:t>Earth-Science Reviews</w:t>
      </w:r>
      <w:r w:rsidRPr="000118F9">
        <w:rPr>
          <w:rFonts w:cs="Calibri"/>
          <w:color w:val="000000" w:themeColor="text1"/>
        </w:rPr>
        <w:t xml:space="preserve"> 201 (September 2019): 102953. </w:t>
      </w:r>
      <w:hyperlink r:id="rId55">
        <w:r w:rsidRPr="000118F9">
          <w:rPr>
            <w:rStyle w:val="Hyperlink"/>
            <w:rFonts w:cs="Calibri"/>
            <w:color w:val="000000" w:themeColor="text1"/>
          </w:rPr>
          <w:t>https://doi.org/10.1016/j.earscirev.2019.102953</w:t>
        </w:r>
      </w:hyperlink>
      <w:r w:rsidRPr="000118F9">
        <w:rPr>
          <w:rFonts w:cs="Calibri"/>
          <w:color w:val="000000" w:themeColor="text1"/>
        </w:rPr>
        <w:t>.</w:t>
      </w:r>
    </w:p>
    <w:p w14:paraId="6EF7E3F3" w14:textId="77777777" w:rsidR="002639F7" w:rsidRPr="000118F9" w:rsidRDefault="00B04E25" w:rsidP="0017335D">
      <w:pPr>
        <w:pStyle w:val="Bibliography"/>
        <w:ind w:left="720" w:hanging="720"/>
        <w:rPr>
          <w:rFonts w:cs="Calibri"/>
          <w:color w:val="000000" w:themeColor="text1"/>
        </w:rPr>
      </w:pPr>
      <w:bookmarkStart w:id="63" w:name="ref-Vicente-Serrano2010"/>
      <w:bookmarkEnd w:id="62"/>
      <w:r w:rsidRPr="000118F9">
        <w:rPr>
          <w:rFonts w:cs="Calibri"/>
          <w:color w:val="000000" w:themeColor="text1"/>
        </w:rPr>
        <w:t xml:space="preserve">Vicente-Serrano, SM, S Beguería, Juan I. López-Moreno, M Angulo, and A El Kenawy. 2010. “A New Global 0.58 Gridded Dataset (1901–2006) of a Multiscalar Drought Index: Comparison with Current Drought Index Datasets Based on the Palmer Drought Severity Index.” </w:t>
      </w:r>
      <w:r w:rsidRPr="000118F9">
        <w:rPr>
          <w:rFonts w:cs="Calibri"/>
          <w:i/>
          <w:color w:val="000000" w:themeColor="text1"/>
        </w:rPr>
        <w:t>Journal of Hydrometeorology</w:t>
      </w:r>
      <w:r w:rsidRPr="000118F9">
        <w:rPr>
          <w:rFonts w:cs="Calibri"/>
          <w:color w:val="000000" w:themeColor="text1"/>
        </w:rPr>
        <w:t xml:space="preserve"> 11.</w:t>
      </w:r>
    </w:p>
    <w:p w14:paraId="36F0D8CA" w14:textId="77777777" w:rsidR="002639F7" w:rsidRPr="000118F9" w:rsidRDefault="00B04E25" w:rsidP="0017335D">
      <w:pPr>
        <w:pStyle w:val="Bibliography"/>
        <w:ind w:left="720" w:hanging="720"/>
        <w:rPr>
          <w:rFonts w:cs="Calibri"/>
          <w:color w:val="000000" w:themeColor="text1"/>
        </w:rPr>
      </w:pPr>
      <w:bookmarkStart w:id="64" w:name="ref-Violle2007"/>
      <w:bookmarkEnd w:id="63"/>
      <w:r w:rsidRPr="000118F9">
        <w:rPr>
          <w:rFonts w:cs="Calibri"/>
          <w:color w:val="000000" w:themeColor="text1"/>
        </w:rPr>
        <w:t xml:space="preserve">Violle, Cyrille, Marie-laure Navas, Denis Vile, Elena Kazakou, Claire Fortunel, Irène Hummel, and Eric Garnier. 2007. “Let the concept of trait be functional!” </w:t>
      </w:r>
      <w:r w:rsidRPr="000118F9">
        <w:rPr>
          <w:rFonts w:cs="Calibri"/>
          <w:i/>
          <w:color w:val="000000" w:themeColor="text1"/>
        </w:rPr>
        <w:t>Oikos</w:t>
      </w:r>
      <w:r w:rsidRPr="000118F9">
        <w:rPr>
          <w:rFonts w:cs="Calibri"/>
          <w:color w:val="000000" w:themeColor="text1"/>
        </w:rPr>
        <w:t xml:space="preserve"> 116 (5): 882–92. </w:t>
      </w:r>
      <w:hyperlink r:id="rId56">
        <w:r w:rsidRPr="000118F9">
          <w:rPr>
            <w:rStyle w:val="Hyperlink"/>
            <w:rFonts w:cs="Calibri"/>
            <w:color w:val="000000" w:themeColor="text1"/>
          </w:rPr>
          <w:t>https://doi.org/10.1111/j.2007.0030-1299.15559.x</w:t>
        </w:r>
      </w:hyperlink>
      <w:r w:rsidRPr="000118F9">
        <w:rPr>
          <w:rFonts w:cs="Calibri"/>
          <w:color w:val="000000" w:themeColor="text1"/>
        </w:rPr>
        <w:t>.</w:t>
      </w:r>
    </w:p>
    <w:p w14:paraId="50B98C6E" w14:textId="77777777" w:rsidR="002639F7" w:rsidRPr="000118F9" w:rsidRDefault="00B04E25" w:rsidP="0017335D">
      <w:pPr>
        <w:pStyle w:val="Bibliography"/>
        <w:ind w:left="720" w:hanging="720"/>
        <w:rPr>
          <w:rFonts w:cs="Calibri"/>
          <w:color w:val="000000" w:themeColor="text1"/>
        </w:rPr>
      </w:pPr>
      <w:bookmarkStart w:id="65" w:name="ref-Volaire2018"/>
      <w:bookmarkEnd w:id="64"/>
      <w:r w:rsidRPr="000118F9">
        <w:rPr>
          <w:rFonts w:cs="Calibri"/>
          <w:color w:val="000000" w:themeColor="text1"/>
        </w:rPr>
        <w:t xml:space="preserve">Volaire, Florence. 2018. “A unified framework of plant adaptive strategies to drought: crossing scales and disciplines.” </w:t>
      </w:r>
      <w:r w:rsidRPr="000118F9">
        <w:rPr>
          <w:rFonts w:cs="Calibri"/>
          <w:i/>
          <w:color w:val="000000" w:themeColor="text1"/>
        </w:rPr>
        <w:t>Global Change Biology</w:t>
      </w:r>
      <w:r w:rsidRPr="000118F9">
        <w:rPr>
          <w:rFonts w:cs="Calibri"/>
          <w:color w:val="000000" w:themeColor="text1"/>
        </w:rPr>
        <w:t xml:space="preserve">. </w:t>
      </w:r>
      <w:hyperlink r:id="rId57">
        <w:r w:rsidRPr="000118F9">
          <w:rPr>
            <w:rStyle w:val="Hyperlink"/>
            <w:rFonts w:cs="Calibri"/>
            <w:color w:val="000000" w:themeColor="text1"/>
          </w:rPr>
          <w:t>https://doi.org/10.1111/gcb.14062</w:t>
        </w:r>
      </w:hyperlink>
      <w:r w:rsidRPr="000118F9">
        <w:rPr>
          <w:rFonts w:cs="Calibri"/>
          <w:color w:val="000000" w:themeColor="text1"/>
        </w:rPr>
        <w:t>.</w:t>
      </w:r>
    </w:p>
    <w:p w14:paraId="794D4A00" w14:textId="77777777" w:rsidR="002639F7" w:rsidRPr="000118F9" w:rsidRDefault="00B04E25" w:rsidP="0017335D">
      <w:pPr>
        <w:pStyle w:val="Bibliography"/>
        <w:ind w:left="720" w:hanging="720"/>
        <w:rPr>
          <w:rFonts w:cs="Calibri"/>
          <w:color w:val="000000" w:themeColor="text1"/>
        </w:rPr>
      </w:pPr>
      <w:bookmarkStart w:id="66" w:name="ref-Volaire2020WhatProcesses"/>
      <w:bookmarkEnd w:id="65"/>
      <w:r w:rsidRPr="000118F9">
        <w:rPr>
          <w:rFonts w:cs="Calibri"/>
          <w:color w:val="000000" w:themeColor="text1"/>
        </w:rPr>
        <w:t xml:space="preserve">Volaire, Florence, Sean M. Gleason, and Sylvain Delzon. 2020. “What do you mean ‘functional’ in ecology? Patterns versus processes.” </w:t>
      </w:r>
      <w:r w:rsidRPr="000118F9">
        <w:rPr>
          <w:rFonts w:cs="Calibri"/>
          <w:i/>
          <w:color w:val="000000" w:themeColor="text1"/>
        </w:rPr>
        <w:t>Ecology and Evolution</w:t>
      </w:r>
      <w:r w:rsidRPr="000118F9">
        <w:rPr>
          <w:rFonts w:cs="Calibri"/>
          <w:color w:val="000000" w:themeColor="text1"/>
        </w:rPr>
        <w:t xml:space="preserve"> 10 (21): 11875–85. </w:t>
      </w:r>
      <w:hyperlink r:id="rId58">
        <w:r w:rsidRPr="000118F9">
          <w:rPr>
            <w:rStyle w:val="Hyperlink"/>
            <w:rFonts w:cs="Calibri"/>
            <w:color w:val="000000" w:themeColor="text1"/>
          </w:rPr>
          <w:t>https://doi.org/10.1002/ece3.6781</w:t>
        </w:r>
      </w:hyperlink>
      <w:r w:rsidRPr="000118F9">
        <w:rPr>
          <w:rFonts w:cs="Calibri"/>
          <w:color w:val="000000" w:themeColor="text1"/>
        </w:rPr>
        <w:t>.</w:t>
      </w:r>
    </w:p>
    <w:p w14:paraId="251CCD60" w14:textId="77777777" w:rsidR="002639F7" w:rsidRPr="000118F9" w:rsidRDefault="00B04E25" w:rsidP="0017335D">
      <w:pPr>
        <w:pStyle w:val="Bibliography"/>
        <w:ind w:left="720" w:hanging="720"/>
        <w:rPr>
          <w:rFonts w:cs="Calibri"/>
          <w:color w:val="000000" w:themeColor="text1"/>
        </w:rPr>
      </w:pPr>
      <w:bookmarkStart w:id="67" w:name="ref-Weiher1999ChallengingEcology"/>
      <w:bookmarkEnd w:id="66"/>
      <w:r w:rsidRPr="000118F9">
        <w:rPr>
          <w:rFonts w:cs="Calibri"/>
          <w:color w:val="000000" w:themeColor="text1"/>
        </w:rPr>
        <w:t xml:space="preserve">Weiher, Evan, Adrie Werf, Ken Thompson, Michael Roderick, Eric Garnier, and Ove Eriksson. 1999. “Challenging Theophrastus: A common core list of plant traits for functional ecology.” </w:t>
      </w:r>
      <w:r w:rsidRPr="000118F9">
        <w:rPr>
          <w:rFonts w:cs="Calibri"/>
          <w:i/>
          <w:color w:val="000000" w:themeColor="text1"/>
        </w:rPr>
        <w:t>Journal of Vegetation Science</w:t>
      </w:r>
      <w:r w:rsidRPr="000118F9">
        <w:rPr>
          <w:rFonts w:cs="Calibri"/>
          <w:color w:val="000000" w:themeColor="text1"/>
        </w:rPr>
        <w:t xml:space="preserve"> 10 (5): 609–20. </w:t>
      </w:r>
      <w:hyperlink r:id="rId59">
        <w:r w:rsidRPr="000118F9">
          <w:rPr>
            <w:rStyle w:val="Hyperlink"/>
            <w:rFonts w:cs="Calibri"/>
            <w:color w:val="000000" w:themeColor="text1"/>
          </w:rPr>
          <w:t>https://doi.org/10.2307/3237076</w:t>
        </w:r>
      </w:hyperlink>
      <w:r w:rsidRPr="000118F9">
        <w:rPr>
          <w:rFonts w:cs="Calibri"/>
          <w:color w:val="000000" w:themeColor="text1"/>
        </w:rPr>
        <w:t>.</w:t>
      </w:r>
    </w:p>
    <w:p w14:paraId="5CFF9A97" w14:textId="77777777" w:rsidR="002639F7" w:rsidRPr="000118F9" w:rsidRDefault="00B04E25" w:rsidP="0017335D">
      <w:pPr>
        <w:pStyle w:val="Bibliography"/>
        <w:ind w:left="720" w:hanging="720"/>
        <w:rPr>
          <w:rFonts w:cs="Calibri"/>
          <w:color w:val="000000" w:themeColor="text1"/>
        </w:rPr>
      </w:pPr>
      <w:bookmarkStart w:id="68" w:name="ref-Wilcox2020PlantPrairie"/>
      <w:bookmarkEnd w:id="67"/>
      <w:r w:rsidRPr="000118F9">
        <w:rPr>
          <w:rFonts w:cs="Calibri"/>
          <w:color w:val="000000" w:themeColor="text1"/>
        </w:rPr>
        <w:t xml:space="preserve">Wilcox, Kevin R, Dana M Blumenthal, Julie A Kray, Kevin E Mueller, Justin D Derner, Troy Ocheltree, and Lauren M Porensky. 2020. “Plant traits related to precipitation sensitivity of species and communities in semi‐arid shortgrass prairie.” </w:t>
      </w:r>
      <w:r w:rsidRPr="000118F9">
        <w:rPr>
          <w:rFonts w:cs="Calibri"/>
          <w:i/>
          <w:color w:val="000000" w:themeColor="text1"/>
        </w:rPr>
        <w:t>New Phytologist</w:t>
      </w:r>
      <w:r w:rsidRPr="000118F9">
        <w:rPr>
          <w:rFonts w:cs="Calibri"/>
          <w:color w:val="000000" w:themeColor="text1"/>
        </w:rPr>
        <w:t xml:space="preserve">, October. </w:t>
      </w:r>
      <w:hyperlink r:id="rId60">
        <w:r w:rsidRPr="000118F9">
          <w:rPr>
            <w:rStyle w:val="Hyperlink"/>
            <w:rFonts w:cs="Calibri"/>
            <w:color w:val="000000" w:themeColor="text1"/>
          </w:rPr>
          <w:t>https://doi.org/10.1111/nph.17000</w:t>
        </w:r>
      </w:hyperlink>
      <w:r w:rsidRPr="000118F9">
        <w:rPr>
          <w:rFonts w:cs="Calibri"/>
          <w:color w:val="000000" w:themeColor="text1"/>
        </w:rPr>
        <w:t>.</w:t>
      </w:r>
    </w:p>
    <w:p w14:paraId="54DA6DF8" w14:textId="77777777" w:rsidR="002639F7" w:rsidRPr="000118F9" w:rsidRDefault="00B04E25" w:rsidP="0017335D">
      <w:pPr>
        <w:pStyle w:val="Bibliography"/>
        <w:ind w:left="720" w:hanging="720"/>
        <w:rPr>
          <w:rFonts w:cs="Calibri"/>
          <w:color w:val="000000" w:themeColor="text1"/>
        </w:rPr>
      </w:pPr>
      <w:bookmarkStart w:id="69" w:name="ref-Wright2004"/>
      <w:bookmarkEnd w:id="68"/>
      <w:r w:rsidRPr="000118F9">
        <w:rPr>
          <w:rFonts w:cs="Calibri"/>
          <w:color w:val="000000" w:themeColor="text1"/>
        </w:rPr>
        <w:t xml:space="preserve">Wright, Ian J., Peter B. Reich, Jaume Flexas, Eric Garnier, Philip K Groom, Javier Gulias, K Hikosaka, et al. 2004. “The Worldwide leaf economics spectrum.” </w:t>
      </w:r>
      <w:r w:rsidRPr="000118F9">
        <w:rPr>
          <w:rFonts w:cs="Calibri"/>
          <w:i/>
          <w:color w:val="000000" w:themeColor="text1"/>
        </w:rPr>
        <w:t>Nature</w:t>
      </w:r>
      <w:r w:rsidRPr="000118F9">
        <w:rPr>
          <w:rFonts w:cs="Calibri"/>
          <w:color w:val="000000" w:themeColor="text1"/>
        </w:rPr>
        <w:t xml:space="preserve"> 428: 821–27.</w:t>
      </w:r>
      <w:bookmarkEnd w:id="16"/>
      <w:bookmarkEnd w:id="19"/>
      <w:bookmarkEnd w:id="69"/>
    </w:p>
    <w:sectPr w:rsidR="002639F7" w:rsidRPr="000118F9" w:rsidSect="00FA7787">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8A38F9" w14:textId="77777777" w:rsidR="006E6672" w:rsidRDefault="006E6672">
      <w:pPr>
        <w:spacing w:after="0"/>
      </w:pPr>
      <w:r>
        <w:separator/>
      </w:r>
    </w:p>
  </w:endnote>
  <w:endnote w:type="continuationSeparator" w:id="0">
    <w:p w14:paraId="5F151EA7" w14:textId="77777777" w:rsidR="006E6672" w:rsidRDefault="006E66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95A127" w14:textId="77777777" w:rsidR="006E6672" w:rsidRDefault="006E6672">
      <w:r>
        <w:separator/>
      </w:r>
    </w:p>
  </w:footnote>
  <w:footnote w:type="continuationSeparator" w:id="0">
    <w:p w14:paraId="2747A4A8" w14:textId="77777777" w:rsidR="006E6672" w:rsidRDefault="006E667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806A89A"/>
    <w:lvl w:ilvl="0">
      <w:start w:val="1"/>
      <w:numFmt w:val="decimal"/>
      <w:lvlText w:val="%1."/>
      <w:lvlJc w:val="left"/>
      <w:pPr>
        <w:tabs>
          <w:tab w:val="num" w:pos="0"/>
        </w:tabs>
        <w:ind w:left="480" w:hanging="480"/>
      </w:pPr>
      <w:rPr>
        <w:rFonts w:asciiTheme="minorHAnsi" w:eastAsiaTheme="minorHAnsi" w:hAnsiTheme="minorHAnsi" w:cstheme="minorBidi"/>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2C1AE401"/>
    <w:multiLevelType w:val="multilevel"/>
    <w:tmpl w:val="9E721D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8F9"/>
    <w:rsid w:val="00011C8B"/>
    <w:rsid w:val="0017335D"/>
    <w:rsid w:val="002639F7"/>
    <w:rsid w:val="004E29B3"/>
    <w:rsid w:val="00590D07"/>
    <w:rsid w:val="006E6672"/>
    <w:rsid w:val="00784D58"/>
    <w:rsid w:val="008D6863"/>
    <w:rsid w:val="00B04E25"/>
    <w:rsid w:val="00B86B75"/>
    <w:rsid w:val="00BC48D5"/>
    <w:rsid w:val="00C21B31"/>
    <w:rsid w:val="00C36279"/>
    <w:rsid w:val="00D37561"/>
    <w:rsid w:val="00DD2CE4"/>
    <w:rsid w:val="00DE178C"/>
    <w:rsid w:val="00E159E2"/>
    <w:rsid w:val="00E2656B"/>
    <w:rsid w:val="00E315A3"/>
    <w:rsid w:val="00F22F65"/>
    <w:rsid w:val="00FA778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84CF82"/>
  <w15:docId w15:val="{400894E6-4CD9-3841-B847-7967809C4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CommentReference">
    <w:name w:val="annotation reference"/>
    <w:basedOn w:val="DefaultParagraphFont"/>
    <w:semiHidden/>
    <w:unhideWhenUsed/>
    <w:rsid w:val="00D37561"/>
    <w:rPr>
      <w:sz w:val="16"/>
      <w:szCs w:val="16"/>
    </w:rPr>
  </w:style>
  <w:style w:type="paragraph" w:styleId="CommentText">
    <w:name w:val="annotation text"/>
    <w:basedOn w:val="Normal"/>
    <w:link w:val="CommentTextChar"/>
    <w:semiHidden/>
    <w:unhideWhenUsed/>
    <w:rsid w:val="00D37561"/>
    <w:rPr>
      <w:sz w:val="20"/>
      <w:szCs w:val="20"/>
    </w:rPr>
  </w:style>
  <w:style w:type="character" w:customStyle="1" w:styleId="CommentTextChar">
    <w:name w:val="Comment Text Char"/>
    <w:basedOn w:val="DefaultParagraphFont"/>
    <w:link w:val="CommentText"/>
    <w:semiHidden/>
    <w:rsid w:val="00D37561"/>
    <w:rPr>
      <w:sz w:val="20"/>
      <w:szCs w:val="20"/>
    </w:rPr>
  </w:style>
  <w:style w:type="character" w:styleId="LineNumber">
    <w:name w:val="line number"/>
    <w:basedOn w:val="DefaultParagraphFont"/>
    <w:semiHidden/>
    <w:unhideWhenUsed/>
    <w:rsid w:val="00FA77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7997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hyperlink" Target="https://doi.org/10.1111/ele.13098" TargetMode="External"/><Relationship Id="rId26" Type="http://schemas.openxmlformats.org/officeDocument/2006/relationships/hyperlink" Target="https://doi.org/10.1890/07-1134.1" TargetMode="External"/><Relationship Id="rId39" Type="http://schemas.openxmlformats.org/officeDocument/2006/relationships/hyperlink" Target="https://doi.org/10.1111/ele.12914" TargetMode="External"/><Relationship Id="rId21" Type="http://schemas.openxmlformats.org/officeDocument/2006/relationships/hyperlink" Target="https://doi.org/10.1073/pnas.1604088113" TargetMode="External"/><Relationship Id="rId34" Type="http://schemas.openxmlformats.org/officeDocument/2006/relationships/hyperlink" Target="https://doi.org/10.1641/B580908" TargetMode="External"/><Relationship Id="rId42" Type="http://schemas.openxmlformats.org/officeDocument/2006/relationships/hyperlink" Target="https://doi.org/10.1111/j.1469-8137.2008.02436.x" TargetMode="External"/><Relationship Id="rId47" Type="http://schemas.openxmlformats.org/officeDocument/2006/relationships/hyperlink" Target="https://doi.org/http://dx.doi.org/10.1071/BT12225" TargetMode="External"/><Relationship Id="rId50" Type="http://schemas.openxmlformats.org/officeDocument/2006/relationships/hyperlink" Target="https://www.r_project.org" TargetMode="External"/><Relationship Id="rId55" Type="http://schemas.openxmlformats.org/officeDocument/2006/relationships/hyperlink" Target="https://doi.org/10.1016/j.earscirev.2019.102953" TargetMode="Externa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10.emf"/><Relationship Id="rId29" Type="http://schemas.openxmlformats.org/officeDocument/2006/relationships/hyperlink" Target="https://doi.org/10.1890/10-0780.1" TargetMode="External"/><Relationship Id="rId11" Type="http://schemas.openxmlformats.org/officeDocument/2006/relationships/image" Target="media/image5.emf"/><Relationship Id="rId24" Type="http://schemas.openxmlformats.org/officeDocument/2006/relationships/hyperlink" Target="https://doi.org/10.1016/j.tree.2008.10.008" TargetMode="External"/><Relationship Id="rId32" Type="http://schemas.openxmlformats.org/officeDocument/2006/relationships/hyperlink" Target="https://doi.org/10.1073/pnas.1502074112" TargetMode="External"/><Relationship Id="rId37" Type="http://schemas.openxmlformats.org/officeDocument/2006/relationships/hyperlink" Target="https://doi.org/10.1111/j.1365-2745.2008.01415.x" TargetMode="External"/><Relationship Id="rId40" Type="http://schemas.openxmlformats.org/officeDocument/2006/relationships/hyperlink" Target="https://doi.org/10.1007/s11104-019-04176-w" TargetMode="External"/><Relationship Id="rId45" Type="http://schemas.openxmlformats.org/officeDocument/2006/relationships/hyperlink" Target="https://doi.org/10.1046/j.1469-8137.1999.00466.x" TargetMode="External"/><Relationship Id="rId53" Type="http://schemas.openxmlformats.org/officeDocument/2006/relationships/hyperlink" Target="https://doi.org/10.1111/2041-210X.12686" TargetMode="External"/><Relationship Id="rId58" Type="http://schemas.openxmlformats.org/officeDocument/2006/relationships/hyperlink" Target="https://doi.org/10.1002/ece3.6781"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doi.org/10.1111/j.2041-210X.2012.00230.x" TargetMode="External"/><Relationship Id="rId14" Type="http://schemas.openxmlformats.org/officeDocument/2006/relationships/image" Target="media/image8.png"/><Relationship Id="rId22" Type="http://schemas.openxmlformats.org/officeDocument/2006/relationships/hyperlink" Target="https://doi.org/10.18637/jss.v067.i01" TargetMode="External"/><Relationship Id="rId27" Type="http://schemas.openxmlformats.org/officeDocument/2006/relationships/hyperlink" Target="https://doi.org/10.1111/j.1365-2745.2007.01212.x" TargetMode="External"/><Relationship Id="rId30" Type="http://schemas.openxmlformats.org/officeDocument/2006/relationships/hyperlink" Target="https://doi.org/10.1002/ecm.1360" TargetMode="External"/><Relationship Id="rId35" Type="http://schemas.openxmlformats.org/officeDocument/2006/relationships/hyperlink" Target="https://doi.org/10.1890/13-0526.1" TargetMode="External"/><Relationship Id="rId43" Type="http://schemas.openxmlformats.org/officeDocument/2006/relationships/hyperlink" Target="https://doi.org/10.1016/j.tree.2006.02.002" TargetMode="External"/><Relationship Id="rId48" Type="http://schemas.openxmlformats.org/officeDocument/2006/relationships/hyperlink" Target="https://doi.org/10.1111/nph.15595" TargetMode="External"/><Relationship Id="rId56" Type="http://schemas.openxmlformats.org/officeDocument/2006/relationships/hyperlink" Target="https://doi.org/10.1111/j.2007.0030-1299.15559.x" TargetMode="External"/><Relationship Id="rId8" Type="http://schemas.openxmlformats.org/officeDocument/2006/relationships/image" Target="media/image2.png"/><Relationship Id="rId51" Type="http://schemas.openxmlformats.org/officeDocument/2006/relationships/hyperlink" Target="https://doi.org/10.1111/1365-2745.12211" TargetMode="Externa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hyperlink" Target="https://doi.org/10.1111/j.1365-2745.2011.01930.x" TargetMode="External"/><Relationship Id="rId25" Type="http://schemas.openxmlformats.org/officeDocument/2006/relationships/hyperlink" Target="https://doi.org/10.1111/jvs.12106" TargetMode="External"/><Relationship Id="rId33" Type="http://schemas.openxmlformats.org/officeDocument/2006/relationships/hyperlink" Target="https://doi.org/10.1093/aob/mcr225" TargetMode="External"/><Relationship Id="rId38" Type="http://schemas.openxmlformats.org/officeDocument/2006/relationships/hyperlink" Target="https://doi.org/10.1016/j.tree.2020.07.010" TargetMode="External"/><Relationship Id="rId46" Type="http://schemas.openxmlformats.org/officeDocument/2006/relationships/hyperlink" Target="https://doi.org/10.1016/j.agrformet.2017.03.007" TargetMode="External"/><Relationship Id="rId59" Type="http://schemas.openxmlformats.org/officeDocument/2006/relationships/hyperlink" Target="https://doi.org/10.2307/3237076" TargetMode="External"/><Relationship Id="rId20" Type="http://schemas.openxmlformats.org/officeDocument/2006/relationships/hyperlink" Target="https://doi.org/10.1111/j.1461-0248.2012.01751.x" TargetMode="External"/><Relationship Id="rId41" Type="http://schemas.openxmlformats.org/officeDocument/2006/relationships/hyperlink" Target="https://doi.org/10.1111/nph.13363" TargetMode="External"/><Relationship Id="rId54" Type="http://schemas.openxmlformats.org/officeDocument/2006/relationships/hyperlink" Target="https://doi.org/10.1111/ele.13154"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doi.org/10.1111/1365-2745.13454" TargetMode="External"/><Relationship Id="rId28" Type="http://schemas.openxmlformats.org/officeDocument/2006/relationships/hyperlink" Target="https://doi.org/10.1111/j.1365-2745.2009.01504.x" TargetMode="External"/><Relationship Id="rId36" Type="http://schemas.openxmlformats.org/officeDocument/2006/relationships/hyperlink" Target="https://doi.org/10.1111/1365-2745.12562" TargetMode="External"/><Relationship Id="rId49" Type="http://schemas.openxmlformats.org/officeDocument/2006/relationships/hyperlink" Target="https://doi.org/10.1111/j.1469-8137.2009.02830.x" TargetMode="External"/><Relationship Id="rId57" Type="http://schemas.openxmlformats.org/officeDocument/2006/relationships/hyperlink" Target="https://doi.org/10.1111/gcb.14062" TargetMode="External"/><Relationship Id="rId10" Type="http://schemas.openxmlformats.org/officeDocument/2006/relationships/image" Target="media/image4.png"/><Relationship Id="rId31" Type="http://schemas.openxmlformats.org/officeDocument/2006/relationships/hyperlink" Target="https://doi.org/10.1007/s00442-019-04336-w" TargetMode="External"/><Relationship Id="rId44" Type="http://schemas.openxmlformats.org/officeDocument/2006/relationships/hyperlink" Target="https://doi.org/10.1890/0012-9658(2001)082%5B0453:GSCCOL%5D2.0.CO;2" TargetMode="External"/><Relationship Id="rId52" Type="http://schemas.openxmlformats.org/officeDocument/2006/relationships/hyperlink" Target="https://doi.org/10.1098/rstb.2012.0074" TargetMode="External"/><Relationship Id="rId60" Type="http://schemas.openxmlformats.org/officeDocument/2006/relationships/hyperlink" Target="https://doi.org/10.1111/nph.17000"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37</Pages>
  <Words>9825</Words>
  <Characters>56006</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Alice Elizabeth Stears</cp:lastModifiedBy>
  <cp:revision>9</cp:revision>
  <dcterms:created xsi:type="dcterms:W3CDTF">2021-04-13T18:57:00Z</dcterms:created>
  <dcterms:modified xsi:type="dcterms:W3CDTF">2021-04-13T19:30:00Z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how plant traits mediate individual-level demographic responses to fluctuating abiotic conditions may provide a mechanistic explanation of species responses to drought. This is critical for understanding how drought, which will only become more frequent and intense with global change, impacts plant communities and ecosystem services.We predicted that species with low leaf turgor loss point (TLP) and high leaf and root dry matter content (LDMC and RDMC) are more likely to survive and grow in dry years due to their higher wilting resistance. We predicted that these traits will not impact growth and survival in wet years when plants are not drought stressed.We synthesized 15 years of demographic data, species-level functional trait measurements, and records of annual climate in a short-grass steppe ecosystem in northern Colorado (COSGS). We calculated the Standardized Precipitation Evapotranspiration Index (SPEI) for each growing season as a measure of drought intensity. We fit generalized linear mixed effect models to determine whether traits interact with drought intensity to impact growth and survival while accounting for plant size and local intraspecific competition.Plant size had consistently positive effects on survival across all species. Local intraspecific competition had consistently negative effects on growth and survival across all species. Graminoids with more negative leaf TLP and higher LDMC and RDMC had higher survival rates in dry years, while graminoids with less negative leaf TLP and lower LDMC and RDMC are larger in year t+1 than high TLP, low LDMC and RDMC counterparts, both in wet and dry years. Forbs demonstrated similar yet more variable responses to inter-annual climate.Synthesis Synthesis The effects of abiotic environmental variation are mediated by plant functional traits, which dictate the nature of a plant’s physiological response and the associated impact on demographic rates. Traits significantly mediated the impact of drought on survival, but not on growth, indicating that survival is the primary demographic driver of species responses to low water availability in this system. The physiological trait leaf TLP is a good predictor of survival in response to drought, but the easier-to-measure morphological traits LDMC and RDMC are equal or better predictors. These results advance our understanding of the mechanisms by which drought intensity drives plant population dynamics, and will refine our predictions of how plant communities will respond to more intense and frequent drought.</vt:lpwstr>
  </property>
  <property fmtid="{D5CDD505-2E9C-101B-9397-08002B2CF9AE}" pid="3" name="bibliography">
    <vt:lpwstr>/Users/Alice/Dropbox/Grad School/Research/Trait Project/CO_sgs Analysis/CO-Sgs-paper/references.bib</vt:lpwstr>
  </property>
</Properties>
</file>