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B4D1B" w14:textId="308B2338" w:rsidR="00EE3D1B" w:rsidRPr="00EE3D1B" w:rsidRDefault="00D45988">
      <w:pPr>
        <w:rPr>
          <w:rFonts w:ascii="Times New Roman" w:hAnsi="Times New Roman" w:cs="Times New Roman"/>
          <w:b/>
          <w:bCs/>
          <w:i/>
          <w:iCs/>
          <w:color w:val="000000" w:themeColor="text1"/>
          <w:u w:val="single"/>
        </w:rPr>
      </w:pPr>
      <w:r w:rsidRPr="00EE3D1B">
        <w:rPr>
          <w:rFonts w:ascii="Times New Roman" w:hAnsi="Times New Roman" w:cs="Times New Roman"/>
          <w:b/>
          <w:bCs/>
          <w:i/>
          <w:iCs/>
          <w:color w:val="000000" w:themeColor="text1"/>
          <w:u w:val="single"/>
        </w:rPr>
        <w:t>COBP Analysis Plan</w:t>
      </w:r>
    </w:p>
    <w:p w14:paraId="17419BF0" w14:textId="75B916CD" w:rsidR="00D45988" w:rsidRPr="00EE3D1B" w:rsidRDefault="00EE3D1B">
      <w:pPr>
        <w:rPr>
          <w:rFonts w:ascii="Times New Roman" w:hAnsi="Times New Roman" w:cs="Times New Roman"/>
          <w:b/>
          <w:bCs/>
          <w:color w:val="000000" w:themeColor="text1"/>
        </w:rPr>
      </w:pPr>
      <w:r w:rsidRPr="00EE3D1B">
        <w:rPr>
          <w:rFonts w:ascii="Times New Roman" w:hAnsi="Times New Roman" w:cs="Times New Roman"/>
          <w:b/>
          <w:bCs/>
          <w:i/>
          <w:iCs/>
          <w:color w:val="000000" w:themeColor="text1"/>
        </w:rPr>
        <w:t>Mechanisms of maintaining rare populations</w:t>
      </w:r>
      <w:r w:rsidR="000D46BA">
        <w:rPr>
          <w:rFonts w:ascii="Times New Roman" w:hAnsi="Times New Roman" w:cs="Times New Roman"/>
          <w:b/>
          <w:bCs/>
          <w:i/>
          <w:iCs/>
          <w:color w:val="000000" w:themeColor="text1"/>
        </w:rPr>
        <w:t xml:space="preserve"> and corresponding tests</w:t>
      </w:r>
      <w:r w:rsidRPr="00EE3D1B">
        <w:rPr>
          <w:rFonts w:ascii="Times New Roman" w:hAnsi="Times New Roman" w:cs="Times New Roman"/>
          <w:b/>
          <w:bCs/>
          <w:i/>
          <w:iCs/>
          <w:color w:val="000000" w:themeColor="text1"/>
        </w:rPr>
        <w:t xml:space="preserve"> (</w:t>
      </w:r>
      <w:r w:rsidRPr="00EE3D1B">
        <w:rPr>
          <w:rFonts w:ascii="Times New Roman" w:hAnsi="Times New Roman" w:cs="Times New Roman"/>
          <w:b/>
          <w:bCs/>
          <w:i/>
          <w:iCs/>
          <w:color w:val="000000" w:themeColor="text1"/>
        </w:rPr>
        <w:t>Dibner, et al. 2019</w:t>
      </w:r>
      <w:r w:rsidRPr="00EE3D1B">
        <w:rPr>
          <w:rFonts w:ascii="Times New Roman" w:hAnsi="Times New Roman" w:cs="Times New Roman"/>
          <w:b/>
          <w:bCs/>
          <w:i/>
          <w:iCs/>
          <w:color w:val="000000" w:themeColor="text1"/>
        </w:rPr>
        <w:t>)</w:t>
      </w:r>
      <w:r w:rsidRPr="00EE3D1B">
        <w:rPr>
          <w:rFonts w:ascii="Times New Roman" w:hAnsi="Times New Roman" w:cs="Times New Roman"/>
          <w:b/>
          <w:bCs/>
          <w:color w:val="000000" w:themeColor="text1"/>
        </w:rPr>
        <w:t xml:space="preserve"> : </w:t>
      </w:r>
    </w:p>
    <w:p w14:paraId="3CDF0D10" w14:textId="17EC1E69" w:rsidR="00EE3D1B"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Negative density dependence</w:t>
      </w:r>
    </w:p>
    <w:p w14:paraId="58575ADD" w14:textId="3A645741" w:rsidR="00387977" w:rsidRPr="00EE3D1B" w:rsidRDefault="00387977" w:rsidP="00387977">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Compare models of lambda w/ and w/out density terms</w:t>
      </w:r>
    </w:p>
    <w:p w14:paraId="31836A0D" w14:textId="6454DCA4" w:rsidR="00EE3D1B"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Demographic compensation (different vital rates have opposing responses to environmental variation)</w:t>
      </w:r>
    </w:p>
    <w:p w14:paraId="26A15ED0" w14:textId="7AA3014A" w:rsidR="005C1629" w:rsidRDefault="005C1629" w:rsidP="005C1629">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Used correlations between the coefficients for year effects in each vital rate function (from the IPMs)(for vital rates that had significant temporal variation). Negative correlations indicate demographic compensation (</w:t>
      </w:r>
      <w:proofErr w:type="spellStart"/>
      <w:r>
        <w:rPr>
          <w:rFonts w:ascii="Times New Roman" w:hAnsi="Times New Roman" w:cs="Times New Roman"/>
          <w:color w:val="000000" w:themeColor="text1"/>
        </w:rPr>
        <w:t>Villellas</w:t>
      </w:r>
      <w:proofErr w:type="spellEnd"/>
      <w:r>
        <w:rPr>
          <w:rFonts w:ascii="Times New Roman" w:hAnsi="Times New Roman" w:cs="Times New Roman"/>
          <w:color w:val="000000" w:themeColor="text1"/>
        </w:rPr>
        <w:t xml:space="preserve"> et al. 2015)</w:t>
      </w:r>
    </w:p>
    <w:p w14:paraId="5A756B3E" w14:textId="0E5DB240" w:rsidR="005C1629" w:rsidRDefault="005C1629" w:rsidP="005C1629">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Also looked for spatial demographic compensation by comparing coefficients for plot effects for vital rate functions that had significant spatial variation.</w:t>
      </w:r>
    </w:p>
    <w:p w14:paraId="3B8BED29" w14:textId="29C1EAEB" w:rsidR="00EB2BE8" w:rsidRPr="00EE3D1B" w:rsidRDefault="00EB2BE8" w:rsidP="005C1629">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Tested the importance of vital rate buffering and temporal demographic compensation (of each vital rate!) for pop. Growth using randomization procedures to simulate 500 stochastic growth trajectories over 100 </w:t>
      </w:r>
      <w:proofErr w:type="spellStart"/>
      <w:r>
        <w:rPr>
          <w:rFonts w:ascii="Times New Roman" w:hAnsi="Times New Roman" w:cs="Times New Roman"/>
          <w:color w:val="000000" w:themeColor="text1"/>
        </w:rPr>
        <w:t>yrs</w:t>
      </w:r>
      <w:proofErr w:type="spellEnd"/>
      <w:r>
        <w:rPr>
          <w:rFonts w:ascii="Times New Roman" w:hAnsi="Times New Roman" w:cs="Times New Roman"/>
          <w:color w:val="000000" w:themeColor="text1"/>
        </w:rPr>
        <w:t xml:space="preserve"> without one or both of these patterns. Compared these stochastic growth rate estimates (estimated for each transect) with point-estimates of long-term stochastic growth rates that include demographic compensation and vital rate buffering.</w:t>
      </w:r>
    </w:p>
    <w:p w14:paraId="640E9FE1" w14:textId="65173821" w:rsidR="00EE3D1B"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Vital rate buffering (variability of demographic rates is inversely related to th</w:t>
      </w:r>
      <w:r w:rsidR="000D46BA">
        <w:rPr>
          <w:rFonts w:ascii="Times New Roman" w:hAnsi="Times New Roman" w:cs="Times New Roman"/>
          <w:color w:val="000000" w:themeColor="text1"/>
        </w:rPr>
        <w:t>e</w:t>
      </w:r>
      <w:r w:rsidRPr="00EE3D1B">
        <w:rPr>
          <w:rFonts w:ascii="Times New Roman" w:hAnsi="Times New Roman" w:cs="Times New Roman"/>
          <w:color w:val="000000" w:themeColor="text1"/>
        </w:rPr>
        <w:t>ir importance for determining pop. Growth rate)</w:t>
      </w:r>
    </w:p>
    <w:p w14:paraId="3A428DF4" w14:textId="439B579A" w:rsidR="000D46BA" w:rsidRDefault="000D46BA" w:rsidP="000D46BA">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Compare vital rate variability to their elasticity values (Pfister 1998;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2004)</w:t>
      </w:r>
    </w:p>
    <w:p w14:paraId="397C7C1F" w14:textId="19177153" w:rsidR="000D46BA" w:rsidRDefault="000D46BA" w:rsidP="000D46BA">
      <w:pPr>
        <w:pStyle w:val="ListParagraph"/>
        <w:numPr>
          <w:ilvl w:val="2"/>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Variability: coefficient of variation (CV) for the mean and variance of each vital rate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2004)</w:t>
      </w:r>
    </w:p>
    <w:p w14:paraId="336348E8" w14:textId="5D5E435B" w:rsidR="000F42F3" w:rsidRPr="00EE3D1B" w:rsidRDefault="000F42F3" w:rsidP="000D46BA">
      <w:pPr>
        <w:pStyle w:val="ListParagraph"/>
        <w:numPr>
          <w:ilvl w:val="2"/>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Used the ‘standard perturbation approach’ to estimate elasticity values (Caswell 2001,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2002)</w:t>
      </w:r>
    </w:p>
    <w:p w14:paraId="17C61ADF" w14:textId="4D7B05DC" w:rsidR="00EE3D1B" w:rsidRPr="00287D27"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Asynchronous responses to environmental variation across subpopulations</w:t>
      </w:r>
    </w:p>
    <w:p w14:paraId="039C9846" w14:textId="36E78642" w:rsidR="00287D27" w:rsidRPr="00287D27" w:rsidRDefault="00287D27" w:rsidP="00287D27">
      <w:pPr>
        <w:pStyle w:val="ListParagraph"/>
        <w:numPr>
          <w:ilvl w:val="1"/>
          <w:numId w:val="2"/>
        </w:numPr>
        <w:rPr>
          <w:rFonts w:ascii="Times New Roman" w:hAnsi="Times New Roman" w:cs="Times New Roman"/>
          <w:color w:val="000000" w:themeColor="text1"/>
        </w:rPr>
      </w:pPr>
      <w:r w:rsidRPr="00287D27">
        <w:rPr>
          <w:rFonts w:ascii="Times New Roman" w:hAnsi="Times New Roman" w:cs="Times New Roman"/>
          <w:color w:val="000000" w:themeColor="text1"/>
        </w:rPr>
        <w:t xml:space="preserve">Mantel tests; </w:t>
      </w:r>
      <w:r w:rsidRPr="00287D27">
        <w:rPr>
          <w:rFonts w:ascii="Times New Roman" w:hAnsi="Times New Roman" w:cs="Times New Roman"/>
          <w:color w:val="000000" w:themeColor="text1"/>
        </w:rPr>
        <w:t>population-level synchrony index (</w:t>
      </w:r>
      <w:proofErr w:type="spellStart"/>
      <w:r w:rsidRPr="00287D27">
        <w:rPr>
          <w:rFonts w:ascii="Times New Roman" w:hAnsi="Times New Roman" w:cs="Times New Roman"/>
          <w:color w:val="000000" w:themeColor="text1"/>
        </w:rPr>
        <w:t>Loreau</w:t>
      </w:r>
      <w:proofErr w:type="spellEnd"/>
      <w:r w:rsidRPr="00287D27">
        <w:rPr>
          <w:rFonts w:ascii="Times New Roman" w:hAnsi="Times New Roman" w:cs="Times New Roman"/>
          <w:color w:val="000000" w:themeColor="text1"/>
        </w:rPr>
        <w:t xml:space="preserve"> and de </w:t>
      </w:r>
      <w:proofErr w:type="spellStart"/>
      <w:r w:rsidRPr="00287D27">
        <w:rPr>
          <w:rFonts w:ascii="Times New Roman" w:hAnsi="Times New Roman" w:cs="Times New Roman"/>
          <w:color w:val="000000" w:themeColor="text1"/>
        </w:rPr>
        <w:t>Mazancourt</w:t>
      </w:r>
      <w:proofErr w:type="spellEnd"/>
      <w:r w:rsidRPr="00287D27">
        <w:rPr>
          <w:rFonts w:ascii="Times New Roman" w:hAnsi="Times New Roman" w:cs="Times New Roman"/>
          <w:color w:val="000000" w:themeColor="text1"/>
        </w:rPr>
        <w:t xml:space="preserve"> 2008, Thibaut and Connolly 2013)</w:t>
      </w:r>
      <w:r>
        <w:rPr>
          <w:rFonts w:ascii="Times New Roman" w:hAnsi="Times New Roman" w:cs="Times New Roman"/>
          <w:color w:val="000000" w:themeColor="text1"/>
        </w:rPr>
        <w:t>;</w:t>
      </w:r>
      <w:r w:rsidRPr="00287D27">
        <w:rPr>
          <w:rFonts w:ascii="Times New Roman" w:hAnsi="Times New Roman" w:cs="Times New Roman"/>
          <w:color w:val="000000" w:themeColor="text1"/>
        </w:rPr>
        <w:t xml:space="preserve"> and the mean-variance portfolio effect</w:t>
      </w:r>
      <w:r>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(Anderson et al. 2013).</w:t>
      </w:r>
    </w:p>
    <w:p w14:paraId="07520FB1" w14:textId="495BC897" w:rsidR="00EE3D1B"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Fine-scale source-sink dynamics</w:t>
      </w:r>
    </w:p>
    <w:p w14:paraId="612B3427" w14:textId="1E59953A" w:rsidR="001B3CD6" w:rsidRDefault="001B3CD6" w:rsidP="001B3CD6">
      <w:pPr>
        <w:pStyle w:val="ListParagraph"/>
        <w:numPr>
          <w:ilvl w:val="1"/>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 xml:space="preserve">Can’t directly measure (no seed movement data), but </w:t>
      </w:r>
      <w:r>
        <w:rPr>
          <w:rFonts w:ascii="Times New Roman" w:hAnsi="Times New Roman" w:cs="Times New Roman"/>
          <w:color w:val="000000" w:themeColor="text1"/>
        </w:rPr>
        <w:t xml:space="preserve">plot-level </w:t>
      </w:r>
      <w:r w:rsidRPr="00EE3D1B">
        <w:rPr>
          <w:rFonts w:ascii="Times New Roman" w:hAnsi="Times New Roman" w:cs="Times New Roman"/>
          <w:color w:val="000000" w:themeColor="text1"/>
        </w:rPr>
        <w:t>population growth rates indicate whether or not there are consistent spatial differences in average population performance, a necessary pre-condition for source–sink dynamics.</w:t>
      </w:r>
    </w:p>
    <w:p w14:paraId="6DBE846B" w14:textId="77777777" w:rsidR="000D46BA" w:rsidRPr="000D46BA" w:rsidRDefault="000D46BA" w:rsidP="000D46BA">
      <w:pPr>
        <w:rPr>
          <w:rFonts w:ascii="Times New Roman" w:hAnsi="Times New Roman" w:cs="Times New Roman"/>
          <w:color w:val="000000" w:themeColor="text1"/>
        </w:rPr>
      </w:pPr>
    </w:p>
    <w:p w14:paraId="7D985D83" w14:textId="59485EA7" w:rsidR="00EE3D1B" w:rsidRPr="00EE3D1B" w:rsidRDefault="00EE3D1B" w:rsidP="00EE3D1B">
      <w:pPr>
        <w:ind w:left="360" w:hanging="360"/>
        <w:rPr>
          <w:rFonts w:ascii="Times New Roman" w:hAnsi="Times New Roman" w:cs="Times New Roman"/>
          <w:b/>
          <w:bCs/>
          <w:color w:val="000000" w:themeColor="text1"/>
        </w:rPr>
      </w:pPr>
    </w:p>
    <w:p w14:paraId="48641472" w14:textId="7EBC78B5" w:rsidR="00EE3D1B" w:rsidRPr="00EE3D1B" w:rsidRDefault="00EE3D1B" w:rsidP="00EE3D1B">
      <w:pPr>
        <w:ind w:left="360" w:hanging="360"/>
        <w:rPr>
          <w:rFonts w:ascii="Times New Roman" w:hAnsi="Times New Roman" w:cs="Times New Roman"/>
          <w:b/>
          <w:bCs/>
          <w:i/>
          <w:iCs/>
          <w:color w:val="000000" w:themeColor="text1"/>
        </w:rPr>
      </w:pPr>
      <w:r w:rsidRPr="00EE3D1B">
        <w:rPr>
          <w:rFonts w:ascii="Times New Roman" w:hAnsi="Times New Roman" w:cs="Times New Roman"/>
          <w:b/>
          <w:bCs/>
          <w:i/>
          <w:iCs/>
          <w:color w:val="000000" w:themeColor="text1"/>
        </w:rPr>
        <w:t>Parameters calculated in Dibner, et al. 2019</w:t>
      </w:r>
    </w:p>
    <w:p w14:paraId="0B806641" w14:textId="728741B9" w:rsidR="00D45988" w:rsidRPr="00EE3D1B" w:rsidRDefault="007626F2" w:rsidP="00D45988">
      <w:pPr>
        <w:pStyle w:val="ListParagraph"/>
        <w:numPr>
          <w:ilvl w:val="0"/>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Population growth rates</w:t>
      </w:r>
    </w:p>
    <w:p w14:paraId="07AFB9B1" w14:textId="2E483B62" w:rsidR="007626F2" w:rsidRPr="00EE3D1B" w:rsidRDefault="007626F2" w:rsidP="007626F2">
      <w:pPr>
        <w:pStyle w:val="ListParagraph"/>
        <w:numPr>
          <w:ilvl w:val="1"/>
          <w:numId w:val="1"/>
        </w:numPr>
        <w:rPr>
          <w:rFonts w:ascii="Times New Roman" w:hAnsi="Times New Roman" w:cs="Times New Roman"/>
          <w:b/>
          <w:bCs/>
          <w:color w:val="000000" w:themeColor="text1"/>
        </w:rPr>
      </w:pPr>
      <w:r w:rsidRPr="00EE3D1B">
        <w:rPr>
          <w:rFonts w:ascii="Times New Roman" w:hAnsi="Times New Roman" w:cs="Times New Roman"/>
          <w:b/>
          <w:bCs/>
          <w:color w:val="000000" w:themeColor="text1"/>
        </w:rPr>
        <w:t>Plot-level</w:t>
      </w:r>
      <w:r w:rsidR="00EE3D1B" w:rsidRPr="00EE3D1B">
        <w:rPr>
          <w:rFonts w:ascii="Times New Roman" w:hAnsi="Times New Roman" w:cs="Times New Roman"/>
          <w:b/>
          <w:bCs/>
          <w:color w:val="000000" w:themeColor="text1"/>
        </w:rPr>
        <w:t xml:space="preserve"> </w:t>
      </w:r>
      <w:r w:rsidR="00EE3D1B" w:rsidRPr="00EE3D1B">
        <w:rPr>
          <w:rFonts w:ascii="Times New Roman" w:hAnsi="Times New Roman" w:cs="Times New Roman"/>
          <w:b/>
          <w:bCs/>
          <w:color w:val="000000" w:themeColor="text1"/>
        </w:rPr>
        <w:t>log(</w:t>
      </w:r>
      <m:oMath>
        <m:r>
          <m:rPr>
            <m:sty m:val="bi"/>
          </m:rPr>
          <w:rPr>
            <w:rFonts w:ascii="Cambria Math" w:hAnsi="Cambria Math" w:cs="Times New Roman"/>
            <w:color w:val="000000" w:themeColor="text1"/>
          </w:rPr>
          <m:t>λ</m:t>
        </m:r>
      </m:oMath>
      <w:r w:rsidR="00EE3D1B" w:rsidRPr="00EE3D1B">
        <w:rPr>
          <w:rFonts w:ascii="Times New Roman" w:hAnsi="Times New Roman" w:cs="Times New Roman"/>
          <w:b/>
          <w:bCs/>
          <w:i/>
          <w:iCs/>
          <w:color w:val="000000" w:themeColor="text1"/>
          <w:vertAlign w:val="subscript"/>
        </w:rPr>
        <w:t>t</w:t>
      </w:r>
      <w:r w:rsidR="00EE3D1B" w:rsidRPr="00EE3D1B">
        <w:rPr>
          <w:rFonts w:ascii="Times New Roman" w:hAnsi="Times New Roman" w:cs="Times New Roman"/>
          <w:b/>
          <w:bCs/>
          <w:color w:val="000000" w:themeColor="text1"/>
        </w:rPr>
        <w:t>)</w:t>
      </w:r>
    </w:p>
    <w:p w14:paraId="5E74B62C" w14:textId="3A12F4B7" w:rsidR="007626F2" w:rsidRPr="00EE3D1B" w:rsidRDefault="007626F2" w:rsidP="007626F2">
      <w:pPr>
        <w:pStyle w:val="ListParagraph"/>
        <w:numPr>
          <w:ilvl w:val="1"/>
          <w:numId w:val="1"/>
        </w:numPr>
        <w:rPr>
          <w:rFonts w:ascii="Times New Roman" w:hAnsi="Times New Roman" w:cs="Times New Roman"/>
          <w:b/>
          <w:bCs/>
          <w:color w:val="000000" w:themeColor="text1"/>
        </w:rPr>
      </w:pPr>
      <w:r w:rsidRPr="00EE3D1B">
        <w:rPr>
          <w:rFonts w:ascii="Times New Roman" w:hAnsi="Times New Roman" w:cs="Times New Roman"/>
          <w:b/>
          <w:bCs/>
          <w:color w:val="000000" w:themeColor="text1"/>
        </w:rPr>
        <w:t>Entire population</w:t>
      </w:r>
      <w:r w:rsidR="00EE3D1B" w:rsidRPr="00EE3D1B">
        <w:rPr>
          <w:rFonts w:ascii="Times New Roman" w:hAnsi="Times New Roman" w:cs="Times New Roman"/>
          <w:b/>
          <w:bCs/>
          <w:color w:val="000000" w:themeColor="text1"/>
        </w:rPr>
        <w:t xml:space="preserve"> </w:t>
      </w:r>
      <w:r w:rsidR="00EE3D1B" w:rsidRPr="00EE3D1B">
        <w:rPr>
          <w:rFonts w:ascii="Times New Roman" w:hAnsi="Times New Roman" w:cs="Times New Roman"/>
          <w:b/>
          <w:bCs/>
          <w:color w:val="000000" w:themeColor="text1"/>
        </w:rPr>
        <w:t>log(</w:t>
      </w:r>
      <m:oMath>
        <m:r>
          <m:rPr>
            <m:sty m:val="bi"/>
          </m:rPr>
          <w:rPr>
            <w:rFonts w:ascii="Cambria Math" w:hAnsi="Cambria Math" w:cs="Times New Roman"/>
            <w:color w:val="000000" w:themeColor="text1"/>
          </w:rPr>
          <m:t>λ</m:t>
        </m:r>
      </m:oMath>
      <w:r w:rsidR="00EE3D1B" w:rsidRPr="00EE3D1B">
        <w:rPr>
          <w:rFonts w:ascii="Times New Roman" w:hAnsi="Times New Roman" w:cs="Times New Roman"/>
          <w:b/>
          <w:bCs/>
          <w:i/>
          <w:iCs/>
          <w:color w:val="000000" w:themeColor="text1"/>
          <w:vertAlign w:val="subscript"/>
        </w:rPr>
        <w:t>t</w:t>
      </w:r>
      <w:r w:rsidR="00EE3D1B" w:rsidRPr="00EE3D1B">
        <w:rPr>
          <w:rFonts w:ascii="Times New Roman" w:hAnsi="Times New Roman" w:cs="Times New Roman"/>
          <w:b/>
          <w:bCs/>
          <w:color w:val="000000" w:themeColor="text1"/>
        </w:rPr>
        <w:t>)</w:t>
      </w:r>
    </w:p>
    <w:p w14:paraId="66631C22" w14:textId="066E1D04" w:rsidR="002B7CA7" w:rsidRPr="001B3CD6" w:rsidRDefault="004A5E6A" w:rsidP="001B3CD6">
      <w:pPr>
        <w:pStyle w:val="ListParagraph"/>
        <w:numPr>
          <w:ilvl w:val="1"/>
          <w:numId w:val="1"/>
        </w:numPr>
        <w:rPr>
          <w:rFonts w:ascii="Times New Roman" w:hAnsi="Times New Roman" w:cs="Times New Roman"/>
          <w:color w:val="000000" w:themeColor="text1"/>
        </w:rPr>
      </w:pPr>
      <w:r w:rsidRPr="00EE3D1B">
        <w:rPr>
          <w:rFonts w:ascii="Calibri" w:hAnsi="Calibri" w:cs="Calibri"/>
          <w:color w:val="000000" w:themeColor="text1"/>
        </w:rPr>
        <w:t>﻿</w:t>
      </w:r>
      <w:r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To assess synchrony among populations occurring in different patches, we </w:t>
      </w:r>
      <w:r w:rsidRPr="00EE3D1B">
        <w:rPr>
          <w:rFonts w:ascii="Times New Roman" w:hAnsi="Times New Roman" w:cs="Times New Roman"/>
          <w:b/>
          <w:bCs/>
          <w:color w:val="000000" w:themeColor="text1"/>
        </w:rPr>
        <w:t>examined pairwise Pearson correlations in log(</w:t>
      </w:r>
      <m:oMath>
        <m:r>
          <m:rPr>
            <m:sty m:val="bi"/>
          </m:rPr>
          <w:rPr>
            <w:rFonts w:ascii="Cambria Math" w:hAnsi="Cambria Math" w:cs="Times New Roman"/>
            <w:color w:val="000000" w:themeColor="text1"/>
          </w:rPr>
          <m:t>λ</m:t>
        </m:r>
      </m:oMath>
      <w:r w:rsidRPr="00EE3D1B">
        <w:rPr>
          <w:rFonts w:ascii="Times New Roman" w:hAnsi="Times New Roman" w:cs="Times New Roman"/>
          <w:b/>
          <w:bCs/>
          <w:i/>
          <w:iCs/>
          <w:color w:val="000000" w:themeColor="text1"/>
          <w:vertAlign w:val="subscript"/>
        </w:rPr>
        <w:t>t</w:t>
      </w:r>
      <w:r w:rsidRPr="00EE3D1B">
        <w:rPr>
          <w:rFonts w:ascii="Times New Roman" w:hAnsi="Times New Roman" w:cs="Times New Roman"/>
          <w:b/>
          <w:bCs/>
          <w:color w:val="000000" w:themeColor="text1"/>
        </w:rPr>
        <w:t>) among plots</w:t>
      </w:r>
      <w:r w:rsidRPr="00EE3D1B">
        <w:rPr>
          <w:rFonts w:ascii="Times New Roman" w:hAnsi="Times New Roman" w:cs="Times New Roman"/>
          <w:color w:val="000000" w:themeColor="text1"/>
        </w:rPr>
        <w:t xml:space="preserve">. We </w:t>
      </w:r>
      <w:r w:rsidRPr="00EE3D1B">
        <w:rPr>
          <w:rFonts w:ascii="Times New Roman" w:hAnsi="Times New Roman" w:cs="Times New Roman"/>
          <w:b/>
          <w:bCs/>
          <w:color w:val="000000" w:themeColor="text1"/>
        </w:rPr>
        <w:t>tested for relationships between different metrics of</w:t>
      </w:r>
      <w:r w:rsidRPr="00EE3D1B">
        <w:rPr>
          <w:rFonts w:ascii="Times New Roman" w:hAnsi="Times New Roman" w:cs="Times New Roman"/>
          <w:b/>
          <w:bCs/>
          <w:color w:val="000000" w:themeColor="text1"/>
        </w:rPr>
        <w:t xml:space="preserve"> </w:t>
      </w:r>
      <w:r w:rsidRPr="00EE3D1B">
        <w:rPr>
          <w:rFonts w:ascii="Times New Roman" w:hAnsi="Times New Roman" w:cs="Times New Roman"/>
          <w:b/>
          <w:bCs/>
          <w:color w:val="000000" w:themeColor="text1"/>
        </w:rPr>
        <w:t>plot quality</w:t>
      </w:r>
      <w:r w:rsidRPr="00EE3D1B">
        <w:rPr>
          <w:rFonts w:ascii="Times New Roman" w:hAnsi="Times New Roman" w:cs="Times New Roman"/>
          <w:color w:val="000000" w:themeColor="text1"/>
        </w:rPr>
        <w:t xml:space="preserve">, including mean abundance (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N</m:t>
            </m:r>
          </m:e>
        </m:acc>
      </m:oMath>
      <w:r w:rsidRPr="00EE3D1B">
        <w:rPr>
          <w:rFonts w:ascii="Times New Roman" w:hAnsi="Times New Roman" w:cs="Times New Roman"/>
          <w:color w:val="000000" w:themeColor="text1"/>
        </w:rPr>
        <w:t xml:space="preserve">), mean growth rate,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log(</m:t>
            </m:r>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t</m:t>
                </m:r>
              </m:sub>
            </m:sSub>
            <m:r>
              <w:rPr>
                <w:rFonts w:ascii="Cambria Math" w:hAnsi="Cambria Math" w:cs="Times New Roman"/>
                <w:color w:val="000000" w:themeColor="text1"/>
              </w:rPr>
              <m:t>)</m:t>
            </m:r>
          </m:e>
        </m:acc>
      </m:oMath>
      <w:r w:rsidRPr="00EE3D1B">
        <w:rPr>
          <w:rFonts w:ascii="Times New Roman" w:hAnsi="Times New Roman" w:cs="Times New Roman"/>
          <w:color w:val="000000" w:themeColor="text1"/>
        </w:rPr>
        <w:t xml:space="preserve">, and the mean correlation coefficient in </w:t>
      </w:r>
      <w:r w:rsidR="002B7CA7" w:rsidRPr="00EE3D1B">
        <w:rPr>
          <w:rFonts w:ascii="Times New Roman" w:hAnsi="Times New Roman" w:cs="Times New Roman"/>
          <w:color w:val="000000" w:themeColor="text1"/>
        </w:rPr>
        <w:t>log(</w:t>
      </w:r>
      <m:oMath>
        <m:r>
          <w:rPr>
            <w:rFonts w:ascii="Cambria Math" w:hAnsi="Cambria Math" w:cs="Times New Roman"/>
            <w:color w:val="000000" w:themeColor="text1"/>
          </w:rPr>
          <m:t>λ</m:t>
        </m:r>
      </m:oMath>
      <w:r w:rsidR="002B7CA7" w:rsidRPr="00EE3D1B">
        <w:rPr>
          <w:rFonts w:ascii="Times New Roman" w:hAnsi="Times New Roman" w:cs="Times New Roman"/>
          <w:i/>
          <w:iCs/>
          <w:color w:val="000000" w:themeColor="text1"/>
          <w:vertAlign w:val="subscript"/>
        </w:rPr>
        <w:t>t</w:t>
      </w:r>
      <w:r w:rsidR="002B7CA7"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of a plot with all other plots weighted by each plot’s mean abundance (hereafter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ρ</m:t>
            </m:r>
          </m:e>
        </m:acc>
      </m:oMath>
      <w:r w:rsidRPr="00EE3D1B">
        <w:rPr>
          <w:rFonts w:ascii="Times New Roman" w:hAnsi="Times New Roman" w:cs="Times New Roman"/>
          <w:color w:val="000000" w:themeColor="text1"/>
        </w:rPr>
        <w:t>).</w:t>
      </w:r>
    </w:p>
    <w:p w14:paraId="68EA01AB" w14:textId="3112EE5E" w:rsidR="00F04184" w:rsidRPr="00EE3D1B" w:rsidRDefault="00CF1281" w:rsidP="00F04184">
      <w:pPr>
        <w:pStyle w:val="ListParagraph"/>
        <w:numPr>
          <w:ilvl w:val="0"/>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Density dependence</w:t>
      </w:r>
    </w:p>
    <w:p w14:paraId="3BA3D3D0" w14:textId="77777777" w:rsidR="00CF1281" w:rsidRPr="00EE3D1B" w:rsidRDefault="00CF1281" w:rsidP="00CF1281">
      <w:pPr>
        <w:pStyle w:val="ListParagraph"/>
        <w:numPr>
          <w:ilvl w:val="1"/>
          <w:numId w:val="1"/>
        </w:numPr>
        <w:rPr>
          <w:rFonts w:ascii="Times New Roman" w:hAnsi="Times New Roman" w:cs="Times New Roman"/>
          <w:color w:val="000000" w:themeColor="text1"/>
        </w:rPr>
      </w:pPr>
      <w:r w:rsidRPr="00EE3D1B">
        <w:rPr>
          <w:rFonts w:ascii="Calibri" w:hAnsi="Calibri" w:cs="Calibri"/>
          <w:color w:val="000000" w:themeColor="text1"/>
        </w:rPr>
        <w:lastRenderedPageBreak/>
        <w:t>﻿</w:t>
      </w:r>
      <w:r w:rsidRPr="00EE3D1B">
        <w:rPr>
          <w:rFonts w:ascii="Times New Roman" w:hAnsi="Times New Roman" w:cs="Times New Roman"/>
          <w:color w:val="000000" w:themeColor="text1"/>
        </w:rPr>
        <w:t>fit both density-dependent and density-independent models to the census data</w:t>
      </w:r>
      <w:r w:rsidRPr="00EE3D1B">
        <w:rPr>
          <w:rFonts w:ascii="Times New Roman" w:hAnsi="Times New Roman" w:cs="Times New Roman"/>
          <w:color w:val="000000" w:themeColor="text1"/>
        </w:rPr>
        <w:t xml:space="preserve">—for each plot, as well as the entire population. </w:t>
      </w:r>
    </w:p>
    <w:p w14:paraId="7123A904" w14:textId="55EC34B6" w:rsidR="00CF1281" w:rsidRPr="00EE3D1B" w:rsidRDefault="00CF1281" w:rsidP="00CF1281">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b/>
          <w:bCs/>
          <w:color w:val="000000" w:themeColor="text1"/>
        </w:rPr>
        <w:t>M</w:t>
      </w:r>
      <w:r w:rsidRPr="00EE3D1B">
        <w:rPr>
          <w:rFonts w:ascii="Times New Roman" w:hAnsi="Times New Roman" w:cs="Times New Roman"/>
          <w:b/>
          <w:bCs/>
          <w:color w:val="000000" w:themeColor="text1"/>
        </w:rPr>
        <w:t xml:space="preserve">odel abundance at time </w:t>
      </w:r>
      <w:r w:rsidRPr="00EE3D1B">
        <w:rPr>
          <w:rFonts w:ascii="Times New Roman" w:hAnsi="Times New Roman" w:cs="Times New Roman"/>
          <w:b/>
          <w:bCs/>
          <w:i/>
          <w:iCs/>
          <w:color w:val="000000" w:themeColor="text1"/>
        </w:rPr>
        <w:t>t + 1</w:t>
      </w:r>
      <w:r w:rsidRPr="00EE3D1B">
        <w:rPr>
          <w:rFonts w:ascii="Times New Roman" w:hAnsi="Times New Roman" w:cs="Times New Roman"/>
          <w:b/>
          <w:bCs/>
          <w:color w:val="000000" w:themeColor="text1"/>
        </w:rPr>
        <w:t xml:space="preserve"> as a negative binomial mixed model</w:t>
      </w:r>
      <w:r w:rsidRPr="00EE3D1B">
        <w:rPr>
          <w:rFonts w:ascii="Times New Roman" w:hAnsi="Times New Roman" w:cs="Times New Roman"/>
          <w:color w:val="000000" w:themeColor="text1"/>
        </w:rPr>
        <w:t xml:space="preserve"> </w:t>
      </w:r>
      <w:r w:rsidR="00F63410"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w:t>
      </w:r>
      <w:proofErr w:type="spellStart"/>
      <w:r w:rsidRPr="00EE3D1B">
        <w:rPr>
          <w:rFonts w:ascii="Times New Roman" w:hAnsi="Times New Roman" w:cs="Times New Roman"/>
          <w:color w:val="000000" w:themeColor="text1"/>
        </w:rPr>
        <w:t>glmm</w:t>
      </w:r>
      <w:proofErr w:type="spellEnd"/>
      <w:r w:rsidRPr="00EE3D1B">
        <w:rPr>
          <w:rFonts w:ascii="Times New Roman" w:hAnsi="Times New Roman" w:cs="Times New Roman"/>
          <w:color w:val="000000" w:themeColor="text1"/>
        </w:rPr>
        <w:t>) with an offset for log(</w:t>
      </w:r>
      <w:proofErr w:type="spellStart"/>
      <w:r w:rsidRPr="00EE3D1B">
        <w:rPr>
          <w:rFonts w:ascii="Times New Roman" w:hAnsi="Times New Roman" w:cs="Times New Roman"/>
          <w:color w:val="000000" w:themeColor="text1"/>
        </w:rPr>
        <w:t>Nt</w:t>
      </w:r>
      <w:proofErr w:type="spellEnd"/>
      <w:r w:rsidRPr="00EE3D1B">
        <w:rPr>
          <w:rFonts w:ascii="Times New Roman" w:hAnsi="Times New Roman" w:cs="Times New Roman"/>
          <w:color w:val="000000" w:themeColor="text1"/>
        </w:rPr>
        <w:t>), following the general approach of Abbott et al. (2017) and Brown</w:t>
      </w:r>
      <w:r w:rsidRPr="00EE3D1B">
        <w:rPr>
          <w:color w:val="000000" w:themeColor="text1"/>
        </w:rPr>
        <w:t xml:space="preserve"> </w:t>
      </w:r>
      <w:r w:rsidRPr="00EE3D1B">
        <w:rPr>
          <w:rFonts w:ascii="Calibri" w:hAnsi="Calibri" w:cs="Calibri"/>
          <w:color w:val="000000" w:themeColor="text1"/>
        </w:rPr>
        <w:t>﻿</w:t>
      </w:r>
      <w:r w:rsidRPr="00EE3D1B">
        <w:rPr>
          <w:rFonts w:ascii="Times New Roman" w:hAnsi="Times New Roman" w:cs="Times New Roman"/>
          <w:color w:val="000000" w:themeColor="text1"/>
        </w:rPr>
        <w:t xml:space="preserve">and Crone (2016). </w:t>
      </w:r>
    </w:p>
    <w:p w14:paraId="0C6EEE22" w14:textId="77777777" w:rsidR="00911885" w:rsidRPr="00EE3D1B" w:rsidRDefault="00CF1281"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b/>
          <w:bCs/>
          <w:color w:val="000000" w:themeColor="text1"/>
        </w:rPr>
        <w:t>Compare</w:t>
      </w:r>
      <w:r w:rsidRPr="00EE3D1B">
        <w:rPr>
          <w:rFonts w:ascii="Times New Roman" w:hAnsi="Times New Roman" w:cs="Times New Roman"/>
          <w:b/>
          <w:bCs/>
          <w:color w:val="000000" w:themeColor="text1"/>
        </w:rPr>
        <w:t xml:space="preserve"> Ricker models</w:t>
      </w:r>
      <w:r w:rsidRPr="00EE3D1B">
        <w:rPr>
          <w:rFonts w:ascii="Times New Roman" w:hAnsi="Times New Roman" w:cs="Times New Roman"/>
          <w:color w:val="000000" w:themeColor="text1"/>
        </w:rPr>
        <w:t xml:space="preserve">, which include a fixed effect of abundance at time </w:t>
      </w:r>
      <w:r w:rsidRPr="00EE3D1B">
        <w:rPr>
          <w:rFonts w:ascii="Times New Roman" w:hAnsi="Times New Roman" w:cs="Times New Roman"/>
          <w:i/>
          <w:iCs/>
          <w:color w:val="000000" w:themeColor="text1"/>
        </w:rPr>
        <w:t xml:space="preserve">t </w:t>
      </w:r>
      <w:r w:rsidRPr="00EE3D1B">
        <w:rPr>
          <w:rFonts w:ascii="Times New Roman" w:hAnsi="Times New Roman" w:cs="Times New Roman"/>
          <w:color w:val="000000" w:themeColor="text1"/>
        </w:rPr>
        <w:t xml:space="preserve">(Ricker 1954), to density-independent models. </w:t>
      </w:r>
    </w:p>
    <w:p w14:paraId="02F4360A" w14:textId="39B53C7D" w:rsidR="003C253E" w:rsidRPr="00EE3D1B" w:rsidRDefault="00CF1281"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For analyses at the plot level, we compared models with random intercepts and/or slopes among years and/or plots with the Akaike information criterion, corrected for sample size (</w:t>
      </w:r>
      <w:proofErr w:type="spellStart"/>
      <w:r w:rsidRPr="00EE3D1B">
        <w:rPr>
          <w:rFonts w:ascii="Times New Roman" w:hAnsi="Times New Roman" w:cs="Times New Roman"/>
          <w:color w:val="000000" w:themeColor="text1"/>
        </w:rPr>
        <w:t>AICc</w:t>
      </w:r>
      <w:proofErr w:type="spellEnd"/>
      <w:r w:rsidRPr="00EE3D1B">
        <w:rPr>
          <w:rFonts w:ascii="Times New Roman" w:hAnsi="Times New Roman" w:cs="Times New Roman"/>
          <w:color w:val="000000" w:themeColor="text1"/>
        </w:rPr>
        <w:t>). We fit all models with the lme4. The best supported model was a Ricker model including random variation in the intercept among years and random variation</w:t>
      </w:r>
      <w:r w:rsidR="00324C01" w:rsidRPr="00EE3D1B">
        <w:rPr>
          <w:rFonts w:ascii="Times New Roman" w:hAnsi="Times New Roman" w:cs="Times New Roman"/>
          <w:color w:val="000000" w:themeColor="text1"/>
        </w:rPr>
        <w:t xml:space="preserve"> in the intercept and slope among plots.</w:t>
      </w:r>
    </w:p>
    <w:p w14:paraId="12F98D16" w14:textId="77777777" w:rsidR="003C253E" w:rsidRPr="00EE3D1B" w:rsidRDefault="003C253E" w:rsidP="003C253E">
      <w:pPr>
        <w:pStyle w:val="ListParagraph"/>
        <w:numPr>
          <w:ilvl w:val="0"/>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Asynchrony among subpopulations</w:t>
      </w:r>
    </w:p>
    <w:p w14:paraId="1E8609D9" w14:textId="77777777" w:rsidR="00911885" w:rsidRPr="00EE3D1B" w:rsidRDefault="003C253E" w:rsidP="00A2333B">
      <w:pPr>
        <w:pStyle w:val="ListParagraph"/>
        <w:numPr>
          <w:ilvl w:val="1"/>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 xml:space="preserve">We used three analyses to test for asynchrony in population growth among 100-m2 plots and to identify how differences in plot-level responses to environmental drivers could account for any asynchrony in the </w:t>
      </w:r>
      <w:r w:rsidR="00911885" w:rsidRPr="00EE3D1B">
        <w:rPr>
          <w:rFonts w:ascii="Times New Roman" w:hAnsi="Times New Roman" w:cs="Times New Roman"/>
          <w:color w:val="000000" w:themeColor="text1"/>
        </w:rPr>
        <w:t xml:space="preserve">entire </w:t>
      </w:r>
      <w:r w:rsidRPr="00EE3D1B">
        <w:rPr>
          <w:rFonts w:ascii="Times New Roman" w:hAnsi="Times New Roman" w:cs="Times New Roman"/>
          <w:color w:val="000000" w:themeColor="text1"/>
        </w:rPr>
        <w:t xml:space="preserve">population. </w:t>
      </w:r>
    </w:p>
    <w:p w14:paraId="67C5276D" w14:textId="77777777" w:rsidR="00F63410" w:rsidRPr="00EE3D1B" w:rsidRDefault="003C253E"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 xml:space="preserve">To identify if the magnitude of correlations between plots in </w:t>
      </w:r>
      <w:r w:rsidR="00911885" w:rsidRPr="00EE3D1B">
        <w:rPr>
          <w:rFonts w:ascii="Times New Roman" w:hAnsi="Times New Roman" w:cs="Times New Roman"/>
          <w:color w:val="000000" w:themeColor="text1"/>
        </w:rPr>
        <w:t>log(</w:t>
      </w:r>
      <m:oMath>
        <m:r>
          <w:rPr>
            <w:rFonts w:ascii="Cambria Math" w:hAnsi="Cambria Math" w:cs="Times New Roman"/>
            <w:color w:val="000000" w:themeColor="text1"/>
          </w:rPr>
          <m:t>λ</m:t>
        </m:r>
      </m:oMath>
      <w:r w:rsidR="00911885" w:rsidRPr="00EE3D1B">
        <w:rPr>
          <w:rFonts w:ascii="Times New Roman" w:hAnsi="Times New Roman" w:cs="Times New Roman"/>
          <w:i/>
          <w:iCs/>
          <w:color w:val="000000" w:themeColor="text1"/>
          <w:vertAlign w:val="subscript"/>
        </w:rPr>
        <w:t>t</w:t>
      </w:r>
      <w:r w:rsidR="00911885" w:rsidRPr="00EE3D1B">
        <w:rPr>
          <w:rFonts w:ascii="Times New Roman" w:hAnsi="Times New Roman" w:cs="Times New Roman"/>
          <w:color w:val="000000" w:themeColor="text1"/>
        </w:rPr>
        <w:t>)</w:t>
      </w:r>
      <w:r w:rsidR="00911885"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or</w:t>
      </w:r>
      <w:r w:rsidR="00911885"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log</w:t>
      </w:r>
      <w:r w:rsidR="00911885" w:rsidRPr="00EE3D1B">
        <w:rPr>
          <w:rFonts w:ascii="Times New Roman" w:hAnsi="Times New Roman" w:cs="Times New Roman"/>
          <w:color w:val="000000" w:themeColor="text1"/>
        </w:rPr>
        <w:t>(N)</w:t>
      </w:r>
      <w:r w:rsidRPr="00EE3D1B">
        <w:rPr>
          <w:rFonts w:ascii="Times New Roman" w:hAnsi="Times New Roman" w:cs="Times New Roman"/>
          <w:color w:val="000000" w:themeColor="text1"/>
        </w:rPr>
        <w:t xml:space="preserve"> was related to their spatial distance from one another, we used </w:t>
      </w:r>
      <w:r w:rsidRPr="00EE3D1B">
        <w:rPr>
          <w:rFonts w:ascii="Times New Roman" w:hAnsi="Times New Roman" w:cs="Times New Roman"/>
          <w:b/>
          <w:bCs/>
          <w:color w:val="000000" w:themeColor="text1"/>
        </w:rPr>
        <w:t>Mantel tests</w:t>
      </w:r>
      <w:r w:rsidRPr="00EE3D1B">
        <w:rPr>
          <w:rFonts w:ascii="Times New Roman" w:hAnsi="Times New Roman" w:cs="Times New Roman"/>
          <w:color w:val="000000" w:themeColor="text1"/>
        </w:rPr>
        <w:t>. Since the north-south axis most closely corresponds to the slope and hence microhabitat at Sand Draw (higher elevation in the north, lower in the south), we considered Euclidean distance along this axis as well as two-dimensional distance and distance on the east-west axis.</w:t>
      </w:r>
      <w:r w:rsidRPr="00EE3D1B">
        <w:rPr>
          <w:color w:val="000000" w:themeColor="text1"/>
        </w:rPr>
        <w:t xml:space="preserve"> </w:t>
      </w:r>
      <w:r w:rsidRPr="00EE3D1B">
        <w:rPr>
          <w:rFonts w:ascii="Calibri" w:hAnsi="Calibri" w:cs="Calibri"/>
          <w:color w:val="000000" w:themeColor="text1"/>
        </w:rPr>
        <w:t>﻿</w:t>
      </w:r>
    </w:p>
    <w:p w14:paraId="0B4EF764" w14:textId="177B1444" w:rsidR="00911885" w:rsidRPr="00EE3D1B" w:rsidRDefault="003C253E"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We then quantified the strength of asynchrony among</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plots and its contribution to population stability with two commonly used empirical metrics: the </w:t>
      </w:r>
      <w:r w:rsidRPr="00EE3D1B">
        <w:rPr>
          <w:rFonts w:ascii="Times New Roman" w:hAnsi="Times New Roman" w:cs="Times New Roman"/>
          <w:b/>
          <w:bCs/>
          <w:color w:val="000000" w:themeColor="text1"/>
        </w:rPr>
        <w:t>population-</w:t>
      </w:r>
      <w:r w:rsidR="00911885" w:rsidRPr="00EE3D1B">
        <w:rPr>
          <w:rFonts w:ascii="Times New Roman" w:hAnsi="Times New Roman" w:cs="Times New Roman"/>
          <w:b/>
          <w:bCs/>
          <w:color w:val="000000" w:themeColor="text1"/>
        </w:rPr>
        <w:t>l</w:t>
      </w:r>
      <w:r w:rsidRPr="00EE3D1B">
        <w:rPr>
          <w:rFonts w:ascii="Times New Roman" w:hAnsi="Times New Roman" w:cs="Times New Roman"/>
          <w:b/>
          <w:bCs/>
          <w:color w:val="000000" w:themeColor="text1"/>
        </w:rPr>
        <w:t>evel synchrony index</w:t>
      </w:r>
      <w:r w:rsidRPr="00EE3D1B">
        <w:rPr>
          <w:rFonts w:ascii="Times New Roman" w:hAnsi="Times New Roman" w:cs="Times New Roman"/>
          <w:color w:val="000000" w:themeColor="text1"/>
        </w:rPr>
        <w:t xml:space="preserve"> (</w:t>
      </w:r>
      <w:proofErr w:type="spellStart"/>
      <w:r w:rsidRPr="00EE3D1B">
        <w:rPr>
          <w:rFonts w:ascii="Times New Roman" w:hAnsi="Times New Roman" w:cs="Times New Roman"/>
          <w:color w:val="000000" w:themeColor="text1"/>
        </w:rPr>
        <w:t>Loreau</w:t>
      </w:r>
      <w:proofErr w:type="spellEnd"/>
      <w:r w:rsidRPr="00EE3D1B">
        <w:rPr>
          <w:rFonts w:ascii="Times New Roman" w:hAnsi="Times New Roman" w:cs="Times New Roman"/>
          <w:color w:val="000000" w:themeColor="text1"/>
        </w:rPr>
        <w:t xml:space="preserve"> and de </w:t>
      </w:r>
      <w:proofErr w:type="spellStart"/>
      <w:r w:rsidRPr="00EE3D1B">
        <w:rPr>
          <w:rFonts w:ascii="Times New Roman" w:hAnsi="Times New Roman" w:cs="Times New Roman"/>
          <w:color w:val="000000" w:themeColor="text1"/>
        </w:rPr>
        <w:t>Mazancourt</w:t>
      </w:r>
      <w:proofErr w:type="spellEnd"/>
      <w:r w:rsidRPr="00EE3D1B">
        <w:rPr>
          <w:rFonts w:ascii="Times New Roman" w:hAnsi="Times New Roman" w:cs="Times New Roman"/>
          <w:color w:val="000000" w:themeColor="text1"/>
        </w:rPr>
        <w:t xml:space="preserve"> 2008, Thibaut and Connolly 2013), and the </w:t>
      </w:r>
      <w:r w:rsidRPr="00EE3D1B">
        <w:rPr>
          <w:rFonts w:ascii="Times New Roman" w:hAnsi="Times New Roman" w:cs="Times New Roman"/>
          <w:b/>
          <w:bCs/>
          <w:color w:val="000000" w:themeColor="text1"/>
        </w:rPr>
        <w:t>mean-variance portfolio effect</w:t>
      </w:r>
      <w:r w:rsidRPr="00EE3D1B">
        <w:rPr>
          <w:rFonts w:ascii="Times New Roman" w:hAnsi="Times New Roman" w:cs="Times New Roman"/>
          <w:color w:val="000000" w:themeColor="text1"/>
        </w:rPr>
        <w:t xml:space="preserve"> (PE; Anderson et al. 2013). The population-level synchrony index ranges from zero (if all plots are perfectly asynchronous or abundance is constant) to one (if all plots are perfectly synchronous) and a PE greater than one indicates stabilizing effects of among- plot variance on total population size (see Supporting Information for details).</w:t>
      </w:r>
      <w:r w:rsidRPr="00EE3D1B">
        <w:rPr>
          <w:rFonts w:ascii="Times New Roman" w:hAnsi="Times New Roman" w:cs="Times New Roman"/>
          <w:color w:val="000000" w:themeColor="text1"/>
        </w:rPr>
        <w:t xml:space="preserve"> </w:t>
      </w:r>
      <w:r w:rsidRPr="00EE3D1B">
        <w:rPr>
          <w:rFonts w:ascii="Calibri" w:hAnsi="Calibri" w:cs="Calibri"/>
          <w:color w:val="000000" w:themeColor="text1"/>
        </w:rPr>
        <w:t>﻿</w:t>
      </w:r>
    </w:p>
    <w:p w14:paraId="667E7A6F" w14:textId="2068AE65" w:rsidR="003C253E" w:rsidRPr="00EE3D1B" w:rsidRDefault="003C253E"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We also tested for climatic drivers of population</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growth and asynchrony in plot-level responses to climate variation. We summarized the climate data into annual (July–June before census) and spring (April–June before census) precipitation sums and temperature means; these variables are likely important for </w:t>
      </w:r>
      <w:proofErr w:type="spellStart"/>
      <w:r w:rsidRPr="00EE3D1B">
        <w:rPr>
          <w:rFonts w:ascii="Times New Roman" w:hAnsi="Times New Roman" w:cs="Times New Roman"/>
          <w:color w:val="000000" w:themeColor="text1"/>
        </w:rPr>
        <w:t>Yermo</w:t>
      </w:r>
      <w:proofErr w:type="spellEnd"/>
      <w:r w:rsidRPr="00EE3D1B">
        <w:rPr>
          <w:rFonts w:ascii="Times New Roman" w:hAnsi="Times New Roman" w:cs="Times New Roman"/>
          <w:color w:val="000000" w:themeColor="text1"/>
        </w:rPr>
        <w:t xml:space="preserve"> performance and correspond with the timing of our demographic surveys in late June to mid-July</w:t>
      </w:r>
      <w:r w:rsidR="005966B1"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We </w:t>
      </w:r>
      <w:r w:rsidRPr="00EE3D1B">
        <w:rPr>
          <w:rFonts w:ascii="Times New Roman" w:hAnsi="Times New Roman" w:cs="Times New Roman"/>
          <w:b/>
          <w:bCs/>
          <w:color w:val="000000" w:themeColor="text1"/>
        </w:rPr>
        <w:t xml:space="preserve">tested whether each of these climate variables explained variation in </w:t>
      </w:r>
      <w:r w:rsidR="005966B1" w:rsidRPr="00EE3D1B">
        <w:rPr>
          <w:rFonts w:ascii="Times New Roman" w:hAnsi="Times New Roman" w:cs="Times New Roman"/>
          <w:b/>
          <w:bCs/>
          <w:color w:val="000000" w:themeColor="text1"/>
        </w:rPr>
        <w:t>log(</w:t>
      </w:r>
      <m:oMath>
        <m:r>
          <m:rPr>
            <m:sty m:val="bi"/>
          </m:rPr>
          <w:rPr>
            <w:rFonts w:ascii="Cambria Math" w:hAnsi="Cambria Math" w:cs="Times New Roman"/>
            <w:color w:val="000000" w:themeColor="text1"/>
          </w:rPr>
          <m:t>λ</m:t>
        </m:r>
      </m:oMath>
      <w:r w:rsidR="005966B1" w:rsidRPr="00EE3D1B">
        <w:rPr>
          <w:rFonts w:ascii="Times New Roman" w:hAnsi="Times New Roman" w:cs="Times New Roman"/>
          <w:b/>
          <w:bCs/>
          <w:i/>
          <w:iCs/>
          <w:color w:val="000000" w:themeColor="text1"/>
          <w:vertAlign w:val="subscript"/>
        </w:rPr>
        <w:t>t</w:t>
      </w:r>
      <w:r w:rsidR="005966B1" w:rsidRPr="00EE3D1B">
        <w:rPr>
          <w:rFonts w:ascii="Times New Roman" w:hAnsi="Times New Roman" w:cs="Times New Roman"/>
          <w:b/>
          <w:bCs/>
          <w:color w:val="000000" w:themeColor="text1"/>
        </w:rPr>
        <w:t xml:space="preserve">) </w:t>
      </w:r>
      <w:r w:rsidRPr="00EE3D1B">
        <w:rPr>
          <w:rFonts w:ascii="Times New Roman" w:hAnsi="Times New Roman" w:cs="Times New Roman"/>
          <w:b/>
          <w:bCs/>
          <w:color w:val="000000" w:themeColor="text1"/>
        </w:rPr>
        <w:t xml:space="preserve">among years by comparing negative binomial </w:t>
      </w:r>
      <w:proofErr w:type="spellStart"/>
      <w:r w:rsidRPr="00EE3D1B">
        <w:rPr>
          <w:rFonts w:ascii="Times New Roman" w:hAnsi="Times New Roman" w:cs="Times New Roman"/>
          <w:b/>
          <w:bCs/>
          <w:color w:val="000000" w:themeColor="text1"/>
        </w:rPr>
        <w:t>glmm</w:t>
      </w:r>
      <w:proofErr w:type="spellEnd"/>
      <w:r w:rsidRPr="00EE3D1B">
        <w:rPr>
          <w:rFonts w:ascii="Times New Roman" w:hAnsi="Times New Roman" w:cs="Times New Roman"/>
          <w:b/>
          <w:bCs/>
          <w:color w:val="000000" w:themeColor="text1"/>
        </w:rPr>
        <w:t xml:space="preserve"> Ricker models of population growth, as described above, that included one of the four climate variables with </w:t>
      </w:r>
      <w:proofErr w:type="spellStart"/>
      <w:r w:rsidRPr="00EE3D1B">
        <w:rPr>
          <w:rFonts w:ascii="Times New Roman" w:hAnsi="Times New Roman" w:cs="Times New Roman"/>
          <w:b/>
          <w:bCs/>
          <w:color w:val="000000" w:themeColor="text1"/>
        </w:rPr>
        <w:t>AICc</w:t>
      </w:r>
      <w:proofErr w:type="spellEnd"/>
      <w:r w:rsidRPr="00EE3D1B">
        <w:rPr>
          <w:rFonts w:ascii="Times New Roman" w:hAnsi="Times New Roman" w:cs="Times New Roman"/>
          <w:color w:val="000000" w:themeColor="text1"/>
        </w:rPr>
        <w:t>. In particular, we compared Ricker models with random variation in intercepts and slopes among plots, but that substituted fixed effects of climate in each year for randomly varying intercepts in each</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year. For each climate variable, we fit models that considered linear and quadratic effects of climate and their</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interactions </w:t>
      </w:r>
      <w:r w:rsidRPr="00EE3D1B">
        <w:rPr>
          <w:rFonts w:ascii="Times New Roman" w:hAnsi="Times New Roman" w:cs="Times New Roman"/>
          <w:color w:val="000000" w:themeColor="text1"/>
        </w:rPr>
        <w:lastRenderedPageBreak/>
        <w:t>with plot position along the north-south</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axis, capturing interactions between climate and the</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main spatial variation in habitat. Although models with</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random year effects had the lowest </w:t>
      </w:r>
      <w:proofErr w:type="spellStart"/>
      <w:r w:rsidRPr="00EE3D1B">
        <w:rPr>
          <w:rFonts w:ascii="Times New Roman" w:hAnsi="Times New Roman" w:cs="Times New Roman"/>
          <w:color w:val="000000" w:themeColor="text1"/>
        </w:rPr>
        <w:t>AICc</w:t>
      </w:r>
      <w:proofErr w:type="spellEnd"/>
      <w:r w:rsidRPr="00EE3D1B">
        <w:rPr>
          <w:rFonts w:ascii="Times New Roman" w:hAnsi="Times New Roman" w:cs="Times New Roman"/>
          <w:color w:val="000000" w:themeColor="text1"/>
        </w:rPr>
        <w:t>, the best-supported model with climate variables had similar explanatory power</w:t>
      </w:r>
      <w:r w:rsidR="005966B1"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We there</w:t>
      </w:r>
      <w:r w:rsidR="00A2333B" w:rsidRPr="00EE3D1B">
        <w:rPr>
          <w:rFonts w:ascii="Times New Roman" w:hAnsi="Times New Roman" w:cs="Times New Roman"/>
          <w:color w:val="000000" w:themeColor="text1"/>
        </w:rPr>
        <w:t>f</w:t>
      </w:r>
      <w:r w:rsidRPr="00EE3D1B">
        <w:rPr>
          <w:rFonts w:ascii="Times New Roman" w:hAnsi="Times New Roman" w:cs="Times New Roman"/>
          <w:color w:val="000000" w:themeColor="text1"/>
        </w:rPr>
        <w:t xml:space="preserve">ore used the best-supported climate </w:t>
      </w:r>
      <w:proofErr w:type="spellStart"/>
      <w:r w:rsidR="005966B1" w:rsidRPr="00EE3D1B">
        <w:rPr>
          <w:rFonts w:ascii="Times New Roman" w:hAnsi="Times New Roman" w:cs="Times New Roman"/>
          <w:color w:val="000000" w:themeColor="text1"/>
        </w:rPr>
        <w:t>modle</w:t>
      </w:r>
      <w:proofErr w:type="spellEnd"/>
      <w:r w:rsidR="005966B1" w:rsidRPr="00EE3D1B">
        <w:rPr>
          <w:rFonts w:ascii="Times New Roman" w:hAnsi="Times New Roman" w:cs="Times New Roman"/>
          <w:color w:val="000000" w:themeColor="text1"/>
        </w:rPr>
        <w:t>, which</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included linear and quadratic terms for annual precipitation and an interaction between North-South plot position and annual precipitation. While multiple climate factors are likely to drive </w:t>
      </w:r>
      <w:proofErr w:type="spellStart"/>
      <w:r w:rsidRPr="00EE3D1B">
        <w:rPr>
          <w:rFonts w:ascii="Times New Roman" w:hAnsi="Times New Roman" w:cs="Times New Roman"/>
          <w:color w:val="000000" w:themeColor="text1"/>
        </w:rPr>
        <w:t>Yermo</w:t>
      </w:r>
      <w:proofErr w:type="spellEnd"/>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dynamics, our data were too temporally limited to fit</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multifactor models</w:t>
      </w:r>
      <w:r w:rsidR="00A2333B" w:rsidRPr="00EE3D1B">
        <w:rPr>
          <w:rFonts w:ascii="Times New Roman" w:hAnsi="Times New Roman" w:cs="Times New Roman"/>
          <w:color w:val="000000" w:themeColor="text1"/>
        </w:rPr>
        <w:t>.</w:t>
      </w:r>
    </w:p>
    <w:p w14:paraId="6AF70BB7" w14:textId="6CF5982A" w:rsidR="00EE3D1B" w:rsidRDefault="00EE3D1B" w:rsidP="00EE3D1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Simulations</w:t>
      </w:r>
    </w:p>
    <w:p w14:paraId="55E02D08" w14:textId="1326F052" w:rsidR="00EE3D1B" w:rsidRDefault="00EE3D1B" w:rsidP="00EE3D1B">
      <w:pPr>
        <w:pStyle w:val="ListParagraph"/>
        <w:numPr>
          <w:ilvl w:val="1"/>
          <w:numId w:val="1"/>
        </w:numPr>
        <w:rPr>
          <w:rFonts w:ascii="Times New Roman" w:hAnsi="Times New Roman" w:cs="Times New Roman"/>
          <w:color w:val="000000" w:themeColor="text1"/>
        </w:rPr>
      </w:pPr>
      <w:r w:rsidRPr="00ED51C1">
        <w:rPr>
          <w:rFonts w:ascii="Times New Roman" w:hAnsi="Times New Roman" w:cs="Times New Roman"/>
          <w:b/>
          <w:bCs/>
          <w:color w:val="000000" w:themeColor="text1"/>
        </w:rPr>
        <w:t>Multi-site, count-based PVA</w:t>
      </w:r>
      <w:r>
        <w:rPr>
          <w:rFonts w:ascii="Times New Roman" w:hAnsi="Times New Roman" w:cs="Times New Roman"/>
          <w:color w:val="000000" w:themeColor="text1"/>
        </w:rPr>
        <w:t xml:space="preserve"> for entire site based on long-term census data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2002)</w:t>
      </w:r>
    </w:p>
    <w:p w14:paraId="57DE2F36" w14:textId="03C56EC4" w:rsidR="00EE3D1B" w:rsidRDefault="00EE3D1B" w:rsidP="00EE3D1B">
      <w:pPr>
        <w:pStyle w:val="ListParagraph"/>
        <w:numPr>
          <w:ilvl w:val="2"/>
          <w:numId w:val="1"/>
        </w:numPr>
        <w:rPr>
          <w:rFonts w:ascii="Times New Roman" w:hAnsi="Times New Roman" w:cs="Times New Roman"/>
          <w:color w:val="000000" w:themeColor="text1"/>
        </w:rPr>
      </w:pPr>
      <w:r w:rsidRPr="00ED51C1">
        <w:rPr>
          <w:rFonts w:ascii="Times New Roman" w:hAnsi="Times New Roman" w:cs="Times New Roman"/>
          <w:b/>
          <w:bCs/>
          <w:color w:val="000000" w:themeColor="text1"/>
        </w:rPr>
        <w:t xml:space="preserve">Simulated population growth in each time step by estimating an expected </w:t>
      </w:r>
      <w:r w:rsidRPr="00ED51C1">
        <w:rPr>
          <w:rFonts w:ascii="Times New Roman" w:hAnsi="Times New Roman" w:cs="Times New Roman"/>
          <w:b/>
          <w:bCs/>
          <w:color w:val="000000" w:themeColor="text1"/>
        </w:rPr>
        <w:t>log(</w:t>
      </w:r>
      <m:oMath>
        <m:r>
          <m:rPr>
            <m:sty m:val="bi"/>
          </m:rPr>
          <w:rPr>
            <w:rFonts w:ascii="Cambria Math" w:hAnsi="Cambria Math" w:cs="Times New Roman"/>
            <w:color w:val="000000" w:themeColor="text1"/>
          </w:rPr>
          <m:t>λ</m:t>
        </m:r>
      </m:oMath>
      <w:r w:rsidRPr="00ED51C1">
        <w:rPr>
          <w:rFonts w:ascii="Times New Roman" w:hAnsi="Times New Roman" w:cs="Times New Roman"/>
          <w:b/>
          <w:bCs/>
          <w:i/>
          <w:iCs/>
          <w:color w:val="000000" w:themeColor="text1"/>
          <w:vertAlign w:val="subscript"/>
        </w:rPr>
        <w:t>t</w:t>
      </w:r>
      <w:r w:rsidRPr="00ED51C1">
        <w:rPr>
          <w:rFonts w:ascii="Times New Roman" w:hAnsi="Times New Roman" w:cs="Times New Roman"/>
          <w:b/>
          <w:bCs/>
          <w:color w:val="000000" w:themeColor="text1"/>
        </w:rPr>
        <w:t>)</w:t>
      </w:r>
      <w:r w:rsidRPr="00ED51C1">
        <w:rPr>
          <w:rFonts w:ascii="Times New Roman" w:hAnsi="Times New Roman" w:cs="Times New Roman"/>
          <w:b/>
          <w:bCs/>
          <w:color w:val="000000" w:themeColor="text1"/>
        </w:rPr>
        <w:t xml:space="preserve"> for each plot based on </w:t>
      </w:r>
      <w:proofErr w:type="spellStart"/>
      <w:r w:rsidRPr="00ED51C1">
        <w:rPr>
          <w:rFonts w:ascii="Times New Roman" w:hAnsi="Times New Roman" w:cs="Times New Roman"/>
          <w:b/>
          <w:bCs/>
          <w:color w:val="000000" w:themeColor="text1"/>
        </w:rPr>
        <w:t>it’s</w:t>
      </w:r>
      <w:proofErr w:type="spellEnd"/>
      <w:r w:rsidRPr="00ED51C1">
        <w:rPr>
          <w:rFonts w:ascii="Times New Roman" w:hAnsi="Times New Roman" w:cs="Times New Roman"/>
          <w:b/>
          <w:bCs/>
          <w:color w:val="000000" w:themeColor="text1"/>
        </w:rPr>
        <w:t xml:space="preserve"> abundance of plants, climate variable, and the plot-specific coefficients from the best-supported Ricker model</w:t>
      </w:r>
      <w:r>
        <w:rPr>
          <w:rFonts w:ascii="Times New Roman" w:hAnsi="Times New Roman" w:cs="Times New Roman"/>
          <w:color w:val="000000" w:themeColor="text1"/>
        </w:rPr>
        <w:t xml:space="preserve">. Then added to this </w:t>
      </w:r>
      <w:r w:rsidRPr="00EE3D1B">
        <w:rPr>
          <w:rFonts w:ascii="Times New Roman" w:hAnsi="Times New Roman" w:cs="Times New Roman"/>
          <w:color w:val="000000" w:themeColor="text1"/>
        </w:rPr>
        <w:t>log(</w:t>
      </w:r>
      <m:oMath>
        <m:r>
          <w:rPr>
            <w:rFonts w:ascii="Cambria Math" w:hAnsi="Cambria Math" w:cs="Times New Roman"/>
            <w:color w:val="000000" w:themeColor="text1"/>
          </w:rPr>
          <m:t>λ</m:t>
        </m:r>
      </m:oMath>
      <w:r w:rsidRPr="00EE3D1B">
        <w:rPr>
          <w:rFonts w:ascii="Times New Roman" w:hAnsi="Times New Roman" w:cs="Times New Roman"/>
          <w:i/>
          <w:iCs/>
          <w:color w:val="000000" w:themeColor="text1"/>
          <w:vertAlign w:val="subscript"/>
        </w:rPr>
        <w:t>t</w:t>
      </w:r>
      <w:r w:rsidRPr="00EE3D1B">
        <w:rPr>
          <w:rFonts w:ascii="Times New Roman" w:hAnsi="Times New Roman" w:cs="Times New Roman"/>
          <w:color w:val="000000" w:themeColor="text1"/>
        </w:rPr>
        <w:t>)</w:t>
      </w:r>
      <w:r>
        <w:rPr>
          <w:rFonts w:ascii="Times New Roman" w:hAnsi="Times New Roman" w:cs="Times New Roman"/>
          <w:color w:val="000000" w:themeColor="text1"/>
        </w:rPr>
        <w:t xml:space="preserve"> a plot-specific correlated random value estimated from the covariance matrix of the model residuals among plots (following Abbot et al. 2017)</w:t>
      </w:r>
      <w:r w:rsidR="004D7F94">
        <w:rPr>
          <w:rFonts w:ascii="Times New Roman" w:hAnsi="Times New Roman" w:cs="Times New Roman"/>
          <w:color w:val="000000" w:themeColor="text1"/>
        </w:rPr>
        <w:t>—allows for stochasticity</w:t>
      </w:r>
    </w:p>
    <w:p w14:paraId="6AC6CAB8" w14:textId="343497E2" w:rsidR="004D7F94" w:rsidRDefault="004D7F94" w:rsidP="00EE3D1B">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Tested the accuracy of these models by starting them at the beginning of the census data, and then </w:t>
      </w:r>
      <w:r w:rsidR="00ED51C1">
        <w:rPr>
          <w:rFonts w:ascii="Times New Roman" w:hAnsi="Times New Roman" w:cs="Times New Roman"/>
          <w:color w:val="000000" w:themeColor="text1"/>
        </w:rPr>
        <w:t>comparing modeled to actual data (compare correlation)</w:t>
      </w:r>
    </w:p>
    <w:p w14:paraId="08D576B5" w14:textId="33DB9441" w:rsidR="00ED51C1" w:rsidRPr="00EE3D1B"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Then project into the future by using the last year of census data as the starting point and </w:t>
      </w:r>
      <w:r w:rsidRPr="00ED51C1">
        <w:rPr>
          <w:rFonts w:ascii="Calibri" w:hAnsi="Calibri" w:cs="Calibri"/>
          <w:color w:val="000000" w:themeColor="text1"/>
        </w:rPr>
        <w:t>﻿</w:t>
      </w:r>
      <w:r w:rsidRPr="00ED51C1">
        <w:rPr>
          <w:rFonts w:ascii="Times New Roman" w:hAnsi="Times New Roman" w:cs="Times New Roman"/>
          <w:color w:val="000000" w:themeColor="text1"/>
        </w:rPr>
        <w:t>randomly</w:t>
      </w:r>
      <w:r>
        <w:rPr>
          <w:rFonts w:ascii="Times New Roman" w:hAnsi="Times New Roman" w:cs="Times New Roman"/>
          <w:color w:val="000000" w:themeColor="text1"/>
        </w:rPr>
        <w:t xml:space="preserve"> </w:t>
      </w:r>
      <w:r w:rsidRPr="00ED51C1">
        <w:rPr>
          <w:rFonts w:ascii="Times New Roman" w:hAnsi="Times New Roman" w:cs="Times New Roman"/>
          <w:color w:val="000000" w:themeColor="text1"/>
        </w:rPr>
        <w:t>drawing annual precipitation values from a normal dis</w:t>
      </w:r>
      <w:r>
        <w:rPr>
          <w:rFonts w:ascii="Times New Roman" w:hAnsi="Times New Roman" w:cs="Times New Roman"/>
          <w:color w:val="000000" w:themeColor="text1"/>
        </w:rPr>
        <w:t xml:space="preserve">tribution with mean and variance taken from the 99 complete observations of annual </w:t>
      </w:r>
      <w:proofErr w:type="spellStart"/>
      <w:r>
        <w:rPr>
          <w:rFonts w:ascii="Times New Roman" w:hAnsi="Times New Roman" w:cs="Times New Roman"/>
          <w:color w:val="000000" w:themeColor="text1"/>
        </w:rPr>
        <w:t>precip</w:t>
      </w:r>
      <w:proofErr w:type="spellEnd"/>
      <w:r>
        <w:rPr>
          <w:rFonts w:ascii="Times New Roman" w:hAnsi="Times New Roman" w:cs="Times New Roman"/>
          <w:color w:val="000000" w:themeColor="text1"/>
        </w:rPr>
        <w:t xml:space="preserve">. From the Riverton NOAA station. </w:t>
      </w:r>
    </w:p>
    <w:p w14:paraId="60B381DB" w14:textId="5DD900A3" w:rsidR="00ED51C1"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Did these simulations 10,000 times over 100-year time window</w:t>
      </w:r>
    </w:p>
    <w:p w14:paraId="68FA52F7" w14:textId="2FD9B35E" w:rsidR="00ED51C1" w:rsidRDefault="00ED51C1" w:rsidP="00ED51C1">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Ran </w:t>
      </w:r>
      <w:r w:rsidRPr="00ED51C1">
        <w:rPr>
          <w:rFonts w:ascii="Times New Roman" w:hAnsi="Times New Roman" w:cs="Times New Roman"/>
          <w:b/>
          <w:bCs/>
          <w:color w:val="000000" w:themeColor="text1"/>
        </w:rPr>
        <w:t>three additional simulations</w:t>
      </w:r>
      <w:r>
        <w:rPr>
          <w:rFonts w:ascii="Times New Roman" w:hAnsi="Times New Roman" w:cs="Times New Roman"/>
          <w:color w:val="000000" w:themeColor="text1"/>
        </w:rPr>
        <w:t xml:space="preserve"> to estimate the impact of density dependence and spatial asynchrony</w:t>
      </w:r>
    </w:p>
    <w:p w14:paraId="2C9B54AD" w14:textId="77E3256A" w:rsidR="00ED51C1"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Ran simulations based on an alternative model that removed effects of spatial asynchrony in climate responses</w:t>
      </w:r>
    </w:p>
    <w:p w14:paraId="601F476C" w14:textId="5D3B22C2" w:rsidR="00ED51C1"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Ran simulations based on models that removed the stabilizing effects of density dependence while still imposing a density cap on numbers </w:t>
      </w:r>
    </w:p>
    <w:p w14:paraId="40B15500" w14:textId="3AC1F1F7" w:rsidR="00ED51C1" w:rsidRPr="00EE3D1B"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Ran simulations based on models that excluded both of these effects</w:t>
      </w:r>
    </w:p>
    <w:sectPr w:rsidR="00ED51C1" w:rsidRPr="00EE3D1B" w:rsidSect="0077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17858"/>
    <w:multiLevelType w:val="hybridMultilevel"/>
    <w:tmpl w:val="17C42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350A8"/>
    <w:multiLevelType w:val="hybridMultilevel"/>
    <w:tmpl w:val="0A40A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88"/>
    <w:rsid w:val="000279FA"/>
    <w:rsid w:val="00080BDB"/>
    <w:rsid w:val="000D46BA"/>
    <w:rsid w:val="000F42F3"/>
    <w:rsid w:val="001B3CD6"/>
    <w:rsid w:val="00287D27"/>
    <w:rsid w:val="002B7CA7"/>
    <w:rsid w:val="00324C01"/>
    <w:rsid w:val="003708E4"/>
    <w:rsid w:val="00387977"/>
    <w:rsid w:val="003C253E"/>
    <w:rsid w:val="004A5E6A"/>
    <w:rsid w:val="004D7F94"/>
    <w:rsid w:val="005966B1"/>
    <w:rsid w:val="005C1629"/>
    <w:rsid w:val="005E6626"/>
    <w:rsid w:val="007626F2"/>
    <w:rsid w:val="00774D79"/>
    <w:rsid w:val="00911885"/>
    <w:rsid w:val="009C0C14"/>
    <w:rsid w:val="00A2333B"/>
    <w:rsid w:val="00B72F5A"/>
    <w:rsid w:val="00CA343E"/>
    <w:rsid w:val="00CF1281"/>
    <w:rsid w:val="00D26C19"/>
    <w:rsid w:val="00D45988"/>
    <w:rsid w:val="00EB2BE8"/>
    <w:rsid w:val="00ED51C1"/>
    <w:rsid w:val="00EE3D1B"/>
    <w:rsid w:val="00F04184"/>
    <w:rsid w:val="00F6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1E449"/>
  <w14:defaultImageDpi w14:val="32767"/>
  <w15:chartTrackingRefBased/>
  <w15:docId w15:val="{952DE048-6CE9-AE42-AFF7-9B2F8B4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988"/>
    <w:pPr>
      <w:ind w:left="720"/>
      <w:contextualSpacing/>
    </w:pPr>
  </w:style>
  <w:style w:type="character" w:styleId="PlaceholderText">
    <w:name w:val="Placeholder Text"/>
    <w:basedOn w:val="DefaultParagraphFont"/>
    <w:uiPriority w:val="99"/>
    <w:semiHidden/>
    <w:rsid w:val="004A5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Elizabeth Stears</dc:creator>
  <cp:keywords/>
  <dc:description/>
  <cp:lastModifiedBy>Alice Elizabeth Stears</cp:lastModifiedBy>
  <cp:revision>25</cp:revision>
  <dcterms:created xsi:type="dcterms:W3CDTF">2021-10-28T15:54:00Z</dcterms:created>
  <dcterms:modified xsi:type="dcterms:W3CDTF">2021-10-28T18:16:00Z</dcterms:modified>
</cp:coreProperties>
</file>