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BE69" w14:textId="062425CA" w:rsidR="007137C7" w:rsidRPr="00F3278E" w:rsidRDefault="001E2856" w:rsidP="002A6DF5">
      <w:pPr>
        <w:rPr>
          <w:rFonts w:ascii="Times New Roman" w:hAnsi="Times New Roman" w:cs="Times New Roman"/>
          <w:b/>
          <w:bCs/>
        </w:rPr>
      </w:pPr>
      <w:r w:rsidRPr="00F3278E">
        <w:rPr>
          <w:rFonts w:ascii="Times New Roman" w:hAnsi="Times New Roman" w:cs="Times New Roman"/>
          <w:b/>
          <w:bCs/>
        </w:rPr>
        <w:t xml:space="preserve">Title </w:t>
      </w:r>
    </w:p>
    <w:p w14:paraId="3D7E63C4" w14:textId="42B8BCBF" w:rsidR="00255B89" w:rsidRPr="00F3278E" w:rsidRDefault="00255B89" w:rsidP="002A6DF5">
      <w:pPr>
        <w:pStyle w:val="BodyText"/>
        <w:rPr>
          <w:rFonts w:ascii="Times New Roman" w:hAnsi="Times New Roman" w:cs="Times New Roman"/>
          <w:color w:val="000000" w:themeColor="text1"/>
        </w:rPr>
      </w:pPr>
      <w:r w:rsidRPr="00F3278E">
        <w:rPr>
          <w:rFonts w:ascii="Times New Roman" w:hAnsi="Times New Roman" w:cs="Times New Roman"/>
          <w:color w:val="000000" w:themeColor="text1"/>
        </w:rPr>
        <w:t>Alice E. Stears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F3278E">
        <w:rPr>
          <w:rFonts w:ascii="Times New Roman" w:hAnsi="Times New Roman" w:cs="Times New Roman"/>
          <w:color w:val="000000" w:themeColor="text1"/>
        </w:rPr>
        <w:t>, Daniel C. Laughlin</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p>
    <w:p w14:paraId="34C63570" w14:textId="6A9A2A7F" w:rsidR="00255B89" w:rsidRPr="00F3278E" w:rsidRDefault="00BE69A7"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00255B89" w:rsidRPr="00F3278E">
        <w:rPr>
          <w:rFonts w:ascii="Times New Roman" w:hAnsi="Times New Roman" w:cs="Times New Roman"/>
          <w:color w:val="000000" w:themeColor="text1"/>
        </w:rPr>
        <w:t>Botany Department and Program in Ecology, University of Wyoming, Laramie, WY</w:t>
      </w:r>
    </w:p>
    <w:p w14:paraId="32FCDE5C" w14:textId="77777777" w:rsidR="00255B89" w:rsidRPr="00F3278E" w:rsidRDefault="00BE69A7"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255B89" w:rsidRPr="00F3278E">
        <w:rPr>
          <w:rFonts w:ascii="Times New Roman" w:hAnsi="Times New Roman" w:cs="Times New Roman"/>
          <w:color w:val="000000" w:themeColor="text1"/>
        </w:rPr>
        <w:t>Corresponding Author: astears@uwyo.edu</w:t>
      </w:r>
    </w:p>
    <w:p w14:paraId="5773EC09" w14:textId="68427111" w:rsidR="001E2856" w:rsidRPr="00F3278E" w:rsidRDefault="001E2856" w:rsidP="002A6DF5">
      <w:pPr>
        <w:spacing w:line="480" w:lineRule="auto"/>
        <w:rPr>
          <w:rFonts w:ascii="Times New Roman" w:hAnsi="Times New Roman" w:cs="Times New Roman"/>
          <w:b/>
          <w:bCs/>
        </w:rPr>
      </w:pPr>
      <w:r w:rsidRPr="00F3278E">
        <w:rPr>
          <w:rFonts w:ascii="Times New Roman" w:hAnsi="Times New Roman" w:cs="Times New Roman"/>
          <w:b/>
          <w:bCs/>
        </w:rPr>
        <w:t>Abstract</w:t>
      </w:r>
    </w:p>
    <w:p w14:paraId="57F892A2" w14:textId="57206B31" w:rsidR="00A94FCE" w:rsidRDefault="00A94FCE" w:rsidP="002A6DF5">
      <w:pPr>
        <w:spacing w:line="480" w:lineRule="auto"/>
        <w:rPr>
          <w:rFonts w:ascii="Times New Roman" w:hAnsi="Times New Roman" w:cs="Times New Roman"/>
          <w:b/>
          <w:bCs/>
        </w:rPr>
      </w:pPr>
      <w:r w:rsidRPr="00F3278E">
        <w:rPr>
          <w:rFonts w:ascii="Times New Roman" w:hAnsi="Times New Roman" w:cs="Times New Roman"/>
          <w:b/>
          <w:bCs/>
        </w:rPr>
        <w:t>Introduction</w:t>
      </w:r>
    </w:p>
    <w:p w14:paraId="5D20C087" w14:textId="03137884"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Environmental and biotic filtering can act at the community level by affecting vital rates across multiple species. But these filtering processes also act on the species level to affect growth, survival, and reproduction. These fine-scale filtering processes are of particular interest in populations that are small, either because they are naturally rare, or because they are adversely impacted by anthropogenic change. Both positive and negative impacts of both biotic and abiotic filtering on rates of birth, death, growth, or survival can have major implications for a population’s existence</w:t>
      </w:r>
      <w:r w:rsidR="006A6593">
        <w:rPr>
          <w:rFonts w:ascii="Times New Roman" w:eastAsia="Times New Roman" w:hAnsi="Times New Roman" w:cs="Times New Roman"/>
          <w:color w:val="4472C4" w:themeColor="accent1"/>
        </w:rPr>
        <w:t>, particularly</w:t>
      </w:r>
      <w:r w:rsidRPr="00057944">
        <w:rPr>
          <w:rFonts w:ascii="Times New Roman" w:eastAsia="Times New Roman" w:hAnsi="Times New Roman" w:cs="Times New Roman"/>
          <w:color w:val="4472C4" w:themeColor="accent1"/>
        </w:rPr>
        <w:t xml:space="preserve"> when it is already small. </w:t>
      </w:r>
    </w:p>
    <w:p w14:paraId="4C86E72A" w14:textId="13CC606C"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 xml:space="preserve">There are five main processes by which abiotic and biotic variation can impact vital rates to maintain rare populations: negative density dependence, opposing response of demographic rates to the same environmental factors, vital rate buffering, asynchronous responses between subpopulations, and source-sink dynamics </w:t>
      </w:r>
      <w:r>
        <w:rPr>
          <w:rFonts w:ascii="Times New Roman" w:eastAsia="Times New Roman" w:hAnsi="Times New Roman" w:cs="Times New Roman"/>
          <w:color w:val="4472C4" w:themeColor="accent1"/>
        </w:rPr>
        <w:fldChar w:fldCharType="begin" w:fldLock="1"/>
      </w:r>
      <w:r w:rsidR="00143F37">
        <w:rPr>
          <w:rFonts w:ascii="Times New Roman" w:eastAsia="Times New Roman" w:hAnsi="Times New Roman" w:cs="Times New Roman"/>
          <w:color w:val="4472C4" w:themeColor="accent1"/>
        </w:rPr>
        <w:instrText>ADDIN CSL_CITATION {"citationItems":[{"id":"ITEM-1","itemData":{"DOI":"10.1002/ecm.1360","ISSN":"15577015","abstract":"The persistence of small populations remains a puzzle for ecology and conservation. Especially interesting is how naturally small, isolated populations are able to persist in the face of multiple environmental forces that create fluctuating conditions and should, theory predicts, lead to high probabilities of extirpation. We used a combination of long-term census data and a five-year demographic study of a naturally rare, endemic plant, Yermo xanthocephalus, to evaluate the importance of several possible mechanisms for small population persistence: negative density dependence, vital rate buffering, demographic compensation, asynchrony in dynamics among sub-populations, and source–sink dynamics. These non-exclusive explanations for population persistence all have been shown to operate in some systems, but have rarely if ever been simultaneously examined for the same population or species. We hypothesized that asynchrony in dynamics and demographic compensation would be more powerful than the other three mechanisms. We found partial support for our hypothesis: density dependence, asynchrony among population segments, and source–sink patterns appear to be the most important mechanisms maintaining population viability in this species. Importantly, these processes all appear to operate strongly at very fine spatial scales for Yermo, allowing the only two, extremely small, populations to persist. We also found considerable differences in the results of our census and demographic analyses. In general, we estimated substantially greater chances of population survival from the census data than from the shorter-term demographic studies. In part, this difference is due to drier than average climate conditions during the years of the demographic work. These results emphasize that while demographic information is necessary to understand various components of population dynamics, longer term studies, even if much less detailed, can be more powerful in uncovering some mechanisms that may be critical in stabilizing population numbers, especially in variable environments.","author":[{"dropping-particle":"","family":"Dibner","given":"Reilly R.","non-dropping-particle":"","parse-names":false,"suffix":""},{"dropping-particle":"","family":"Peterson","given":"Megan L.","non-dropping-particle":"","parse-names":false,"suffix":""},{"dropping-particle":"","family":"Louthan","given":"Allison M.","non-dropping-particle":"","parse-names":false,"suffix":""},{"dropping-particle":"","family":"Doak","given":"Daniel F.","non-dropping-particle":"","parse-names":false,"suffix":""}],"container-title":"Ecological Monographs","id":"ITEM-1","issue":"2","issued":{"date-parts":[["2019"]]},"page":"1-16","title":"Multiple mechanisms confer stability to isolated populations of a rare endemic plant","type":"article-journal","volume":"89"},"uris":["http://www.mendeley.com/documents/?uuid=657bb168-36a6-49a5-9886-9859d9fb8c3c"]}],"mendeley":{"formattedCitation":"(Dibner et al. 2019)","plainTextFormattedCitation":"(Dibner et al. 2019)","previouslyFormattedCitation":"(Dibner et al. 2019)"},"properties":{"noteIndex":0},"schema":"https://github.com/citation-style-language/schema/raw/master/csl-citation.json"}</w:instrText>
      </w:r>
      <w:r>
        <w:rPr>
          <w:rFonts w:ascii="Times New Roman" w:eastAsia="Times New Roman" w:hAnsi="Times New Roman" w:cs="Times New Roman"/>
          <w:color w:val="4472C4" w:themeColor="accent1"/>
        </w:rPr>
        <w:fldChar w:fldCharType="separate"/>
      </w:r>
      <w:r w:rsidR="0002340D" w:rsidRPr="0002340D">
        <w:rPr>
          <w:rFonts w:ascii="Times New Roman" w:eastAsia="Times New Roman" w:hAnsi="Times New Roman" w:cs="Times New Roman"/>
          <w:noProof/>
          <w:color w:val="4472C4" w:themeColor="accent1"/>
        </w:rPr>
        <w:t>(Dibner et al. 2019)</w:t>
      </w:r>
      <w:r>
        <w:rPr>
          <w:rFonts w:ascii="Times New Roman" w:eastAsia="Times New Roman" w:hAnsi="Times New Roman" w:cs="Times New Roman"/>
          <w:color w:val="4472C4" w:themeColor="accent1"/>
        </w:rPr>
        <w:fldChar w:fldCharType="end"/>
      </w:r>
      <w:r>
        <w:rPr>
          <w:rFonts w:ascii="Times New Roman" w:eastAsia="Times New Roman" w:hAnsi="Times New Roman" w:cs="Times New Roman"/>
          <w:color w:val="4472C4" w:themeColor="accent1"/>
        </w:rPr>
        <w:t xml:space="preserve">. </w:t>
      </w:r>
      <w:r w:rsidRPr="00057944">
        <w:rPr>
          <w:rFonts w:ascii="Times New Roman" w:eastAsia="Times New Roman" w:hAnsi="Times New Roman" w:cs="Times New Roman"/>
          <w:color w:val="4472C4" w:themeColor="accent1"/>
        </w:rPr>
        <w:t xml:space="preserve">Determining which of these factors contribute to persistence or decline in populations of rare species is critical for informed conservation and management. I will use size-based Integral Population Models (IPMs) that incorporate a seed bank stage to identify which factors are contributing to the persistence and in some cases population growth of a rare plant species, </w:t>
      </w:r>
      <w:r w:rsidRPr="00057944">
        <w:rPr>
          <w:rFonts w:ascii="Times New Roman" w:eastAsia="Times New Roman" w:hAnsi="Times New Roman" w:cs="Times New Roman"/>
          <w:i/>
          <w:iCs/>
          <w:color w:val="4472C4" w:themeColor="accent1"/>
        </w:rPr>
        <w:t>Oenothera coloradensis</w:t>
      </w:r>
      <w:r w:rsidRPr="00057944">
        <w:rPr>
          <w:rFonts w:ascii="Times New Roman" w:eastAsia="Times New Roman" w:hAnsi="Times New Roman" w:cs="Times New Roman"/>
          <w:color w:val="4472C4" w:themeColor="accent1"/>
        </w:rPr>
        <w:t xml:space="preserve"> (</w:t>
      </w:r>
      <w:proofErr w:type="spellStart"/>
      <w:r w:rsidRPr="00057944">
        <w:rPr>
          <w:rFonts w:ascii="Times New Roman" w:eastAsia="Times New Roman" w:hAnsi="Times New Roman" w:cs="Times New Roman"/>
          <w:color w:val="4472C4" w:themeColor="accent1"/>
        </w:rPr>
        <w:t>Onagraceae</w:t>
      </w:r>
      <w:proofErr w:type="spellEnd"/>
      <w:r w:rsidRPr="00057944">
        <w:rPr>
          <w:rFonts w:ascii="Times New Roman" w:eastAsia="Times New Roman" w:hAnsi="Times New Roman" w:cs="Times New Roman"/>
          <w:color w:val="4472C4" w:themeColor="accent1"/>
        </w:rPr>
        <w:t xml:space="preserve">). </w:t>
      </w:r>
    </w:p>
    <w:p w14:paraId="6F7F175D" w14:textId="7BEAA764" w:rsidR="00057944" w:rsidRPr="00057944" w:rsidRDefault="00057944" w:rsidP="00057944">
      <w:pPr>
        <w:pStyle w:val="NormalWeb"/>
        <w:spacing w:line="480" w:lineRule="auto"/>
        <w:rPr>
          <w:color w:val="4472C4" w:themeColor="accent1"/>
        </w:rPr>
      </w:pPr>
      <w:r w:rsidRPr="00057944">
        <w:rPr>
          <w:color w:val="4472C4" w:themeColor="accent1"/>
        </w:rPr>
        <w:t xml:space="preserve">Oenothera coloradensis is monocarpic perennial forb that occurs in riparian habitats in southeastern Wyoming, northern Colorado, and western Nebraska. It was listed as ‘threatened’ under the Endangered Species Act from 2000 until 2019, when it was delisted due to recovery. The largest known populations exists on the FE Warren Airforce Base (FEWAFB) near Cheyenne, WY, and the Soapstone Prairie Natural Area in Larimer County, CO. A three-year demographic study of O. coloradensis was established at the FEWAFB in the 1990s. The results from this study were used to create a matrix population model for this species, which indicated overall population growth with spatial variability in population growth rates across measured subpopulations, and identified the transitions from large rosette to reproductive, and from seedling to small rosette as the most important for population growth </w:t>
      </w:r>
      <w:r>
        <w:rPr>
          <w:color w:val="4472C4" w:themeColor="accent1"/>
        </w:rPr>
        <w:fldChar w:fldCharType="begin" w:fldLock="1"/>
      </w:r>
      <w:r w:rsidR="00143F37">
        <w:rPr>
          <w:color w:val="4472C4" w:themeColor="accent1"/>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and Ranker 1998)","plainTextFormattedCitation":"(Floyd and Ranker 1998)","previouslyFormattedCitation":"(Floyd and Ranker 1998)"},"properties":{"noteIndex":0},"schema":"https://github.com/citation-style-language/schema/raw/master/csl-citation.json"}</w:instrText>
      </w:r>
      <w:r>
        <w:rPr>
          <w:color w:val="4472C4" w:themeColor="accent1"/>
        </w:rPr>
        <w:fldChar w:fldCharType="separate"/>
      </w:r>
      <w:r w:rsidR="0002340D" w:rsidRPr="0002340D">
        <w:rPr>
          <w:noProof/>
          <w:color w:val="4472C4" w:themeColor="accent1"/>
        </w:rPr>
        <w:t>(Floyd and Ranker 1998)</w:t>
      </w:r>
      <w:r>
        <w:rPr>
          <w:color w:val="4472C4" w:themeColor="accent1"/>
        </w:rPr>
        <w:fldChar w:fldCharType="end"/>
      </w:r>
      <w:r>
        <w:rPr>
          <w:color w:val="4472C4" w:themeColor="accent1"/>
        </w:rPr>
        <w:t>.</w:t>
      </w:r>
      <w:r w:rsidRPr="00057944">
        <w:rPr>
          <w:color w:val="4472C4" w:themeColor="accent1"/>
        </w:rPr>
        <w:t xml:space="preserve"> </w:t>
      </w:r>
      <w:r>
        <w:rPr>
          <w:color w:val="4472C4" w:themeColor="accent1"/>
        </w:rPr>
        <w:t xml:space="preserve"> </w:t>
      </w:r>
      <w:r w:rsidRPr="00057944">
        <w:rPr>
          <w:color w:val="4472C4" w:themeColor="accent1"/>
        </w:rPr>
        <w:t>Our study will evaluate the current population growth rates of O. coloradensis in three FEWAFB subpopulations, and three subpopulations at Soapstone. I will use IPMs in place of transition matrix models, which allow us to model transition probabilities across a continuous spectrum of plant size, as opposed to discrete life stages</w:t>
      </w:r>
      <w:r>
        <w:rPr>
          <w:color w:val="4472C4" w:themeColor="accent1"/>
        </w:rPr>
        <w:t xml:space="preserve"> </w:t>
      </w:r>
      <w:r>
        <w:rPr>
          <w:color w:val="4472C4" w:themeColor="accent1"/>
        </w:rPr>
        <w:fldChar w:fldCharType="begin" w:fldLock="1"/>
      </w:r>
      <w:r w:rsidR="00143F37">
        <w:rPr>
          <w:color w:val="4472C4" w:themeColor="accent1"/>
        </w:rPr>
        <w:instrText>ADDIN CSL_CITATION {"citationItems":[{"id":"ITEM-1","itemData":{"DOI":"10.1890/0012-9658(2000)081[0694:SSSAAN]2.0.CO;2","ISBN":"0012-9658","ISSN":"0012-9658","PMID":"22149683","abstract":"Matrix population models require the population to be divided into discrete stage classes. In many cases, especially when classes are defined by a continuous variable, such as length or mass, there are no natural breakpoints, and the division is artificial. We introduce the ‘‘integral projection model,’’ which eliminates the need for division into discrete classes, without requiring any additional biological assumptions. Like a traditional matrix model, the integral projection model provides estimates of the asymptotic growth rate, stable size distribution, reproductive values, and sensitivities of the growth rate to changes in vital rates. However, where the matrix model represents the size distributions, reproductive value, and sensitivities as step functions (constant within a stage class), the integral projection model yields smooth curves for each of these as a function of individual size. We describe a method for fitting the model to data, and we apply this method to data on an endangered plant species, northern monkshood (Aconitum noveboracense), with in- dividuals classified by stem diameter. The matrix and integral models yield similar estimates of the asymptotic growth rate, but the reproductive values and sensitivities in the matrix model are sensitive to the choice of stage classes. The integral projection model avoids this problem and yields size-specific sensitivities that are not affected by stage duration. These general properties of the integral projection model will make it advantageous for other populations where there is no natural division of individuals into stage classes.","author":[{"dropping-particle":"","family":"Easterling","given":"Michael R.","non-dropping-particle":"","parse-names":false,"suffix":""},{"dropping-particle":"","family":"Ellner","given":"Stephen P.","non-dropping-particle":"","parse-names":false,"suffix":""},{"dropping-particle":"","family":"Dixon","given":"Philip M.","non-dropping-particle":"","parse-names":false,"suffix":""}],"container-title":"Ecology","id":"ITEM-1","issue":"3","issued":{"date-parts":[["2000"]]},"page":"694-708","title":"Size-Specific Sensitivity: Applying a New Structured Population Model","type":"article-journal","volume":"81"},"uris":["http://www.mendeley.com/documents/?uuid=c8fce039-4f2b-4c81-8125-990a295153a0"]}],"mendeley":{"formattedCitation":"(Easterling et al. 2000)","plainTextFormattedCitation":"(Easterling et al. 2000)","previouslyFormattedCitation":"(Easterling et al. 2000)"},"properties":{"noteIndex":0},"schema":"https://github.com/citation-style-language/schema/raw/master/csl-citation.json"}</w:instrText>
      </w:r>
      <w:r>
        <w:rPr>
          <w:color w:val="4472C4" w:themeColor="accent1"/>
        </w:rPr>
        <w:fldChar w:fldCharType="separate"/>
      </w:r>
      <w:r w:rsidR="0002340D" w:rsidRPr="0002340D">
        <w:rPr>
          <w:noProof/>
          <w:color w:val="4472C4" w:themeColor="accent1"/>
        </w:rPr>
        <w:t>(Easterling et al. 2000)</w:t>
      </w:r>
      <w:r>
        <w:rPr>
          <w:color w:val="4472C4" w:themeColor="accent1"/>
        </w:rPr>
        <w:fldChar w:fldCharType="end"/>
      </w:r>
      <w:r>
        <w:rPr>
          <w:color w:val="4472C4" w:themeColor="accent1"/>
        </w:rPr>
        <w:t xml:space="preserve">. </w:t>
      </w:r>
      <w:r w:rsidRPr="00057944">
        <w:rPr>
          <w:color w:val="4472C4" w:themeColor="accent1"/>
        </w:rPr>
        <w:t xml:space="preserve">The updated model of vital rates for these populations, combined with measurements of environmental variation, will allow us to identify mechanisms by which biotic and abiotic filtering are driving subpopulation persistence or decline. Even though O. coloradensis is no longer managed under the Endangered Species Act, it is critical that we understand the forces shaping population size and fitness in order to effectively keep this species on a trajectory of recovery. </w:t>
      </w:r>
    </w:p>
    <w:p w14:paraId="11BD295F" w14:textId="2EC0B1AD"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 xml:space="preserve">Hypothesis 1: Density dependence, small-scale source-sink dynamics and asynchronous responses between subpopulations are important mechanisms for the persistence of O. coloradensis populations. This species occurs in habitats that naturally experience frequent, highly-localized disturbance, which means that some subpopulations of O. coloradensis might be negatively affected by flood, for example, while other nearby populations are simultaneously thriving due to lack of disturbance. This population-wide pattern of asynchronous disturbance also could make source-sink dynamics important. We also have anecdotal evidence of large fluctuations in the number of plants within subpopulations, indicating that density dependence might be important. </w:t>
      </w:r>
    </w:p>
    <w:p w14:paraId="3F08C97D" w14:textId="122503BA" w:rsidR="008919CB" w:rsidRPr="00F3278E" w:rsidRDefault="008919CB" w:rsidP="008919CB">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Motivation for the study</w:t>
      </w:r>
    </w:p>
    <w:p w14:paraId="310C9FEF" w14:textId="295ECA87"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Importance of demographic information for conservation</w:t>
      </w:r>
    </w:p>
    <w:p w14:paraId="348C747C" w14:textId="7840265F"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Of particular importance for rare plants</w:t>
      </w:r>
    </w:p>
    <w:p w14:paraId="500CF715" w14:textId="2E1EC7AC"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Important to identify life stages most relevant to population growth/persistence—considering </w:t>
      </w:r>
      <w:r w:rsidRPr="00F3278E">
        <w:rPr>
          <w:rFonts w:ascii="Times New Roman" w:hAnsi="Times New Roman" w:cs="Times New Roman"/>
          <w:i/>
          <w:iCs/>
        </w:rPr>
        <w:t>every</w:t>
      </w:r>
      <w:r w:rsidRPr="00F3278E">
        <w:rPr>
          <w:rFonts w:ascii="Times New Roman" w:hAnsi="Times New Roman" w:cs="Times New Roman"/>
        </w:rPr>
        <w:t xml:space="preserve"> life stage</w:t>
      </w:r>
    </w:p>
    <w:p w14:paraId="6DDED046" w14:textId="57D55BBB" w:rsidR="008919CB" w:rsidRPr="00F3278E" w:rsidRDefault="008919CB" w:rsidP="008919CB">
      <w:pPr>
        <w:pStyle w:val="ListParagraph"/>
        <w:numPr>
          <w:ilvl w:val="3"/>
          <w:numId w:val="6"/>
        </w:numPr>
        <w:spacing w:line="480" w:lineRule="auto"/>
        <w:rPr>
          <w:rFonts w:ascii="Times New Roman" w:hAnsi="Times New Roman" w:cs="Times New Roman"/>
        </w:rPr>
      </w:pPr>
      <w:r w:rsidRPr="00F3278E">
        <w:rPr>
          <w:rFonts w:ascii="Times New Roman" w:hAnsi="Times New Roman" w:cs="Times New Roman"/>
        </w:rPr>
        <w:t>Talk about seedbanks here</w:t>
      </w:r>
    </w:p>
    <w:p w14:paraId="1967840A" w14:textId="3A148060"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Also important to identify other processes that affect population growth/persistence, and may </w:t>
      </w:r>
      <w:r w:rsidR="001A1048" w:rsidRPr="00F3278E">
        <w:rPr>
          <w:rFonts w:ascii="Times New Roman" w:hAnsi="Times New Roman" w:cs="Times New Roman"/>
        </w:rPr>
        <w:t>allow rare populations to persist</w:t>
      </w:r>
    </w:p>
    <w:p w14:paraId="202E0242" w14:textId="7E8CF223"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Introduce study species</w:t>
      </w:r>
    </w:p>
    <w:p w14:paraId="56390021" w14:textId="77777777" w:rsidR="0032704B" w:rsidRPr="00F3278E" w:rsidRDefault="001A1048" w:rsidP="0032704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Basic intro</w:t>
      </w:r>
    </w:p>
    <w:p w14:paraId="4D1A6650" w14:textId="5E0952A7" w:rsidR="0032704B" w:rsidRPr="00F3278E" w:rsidRDefault="0032704B"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
          <w:iCs/>
        </w:rPr>
        <w:t xml:space="preserve">O. </w:t>
      </w:r>
      <w:proofErr w:type="spellStart"/>
      <w:r w:rsidRPr="00F3278E">
        <w:rPr>
          <w:rFonts w:ascii="Times New Roman" w:hAnsi="Times New Roman" w:cs="Times New Roman"/>
          <w:i/>
          <w:iCs/>
        </w:rPr>
        <w:t>coloradesis</w:t>
      </w:r>
      <w:proofErr w:type="spellEnd"/>
      <w:r w:rsidRPr="00F3278E">
        <w:rPr>
          <w:rFonts w:ascii="Times New Roman" w:hAnsi="Times New Roman" w:cs="Times New Roman"/>
        </w:rPr>
        <w:t xml:space="preserve"> is "weakly conserved",  and has a "protection status score" of 1.7 out of 10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Rondeau","given":"R","non-dropping-particle":"","parse-names":false,"suffix":""},{"dropping-particle":"","family":"Decker","given":"K.","non-dropping-particle":"","parse-names":false,"suffix":""},{"dropping-particle":"","family":"Handwerk","given":"J.","non-dropping-particle":"","parse-names":false,"suffix":""},{"dropping-particle":"","family":"Siemers","given":"J.","non-dropping-particle":"","parse-names":false,"suffix":""},{"dropping-particle":"","family":"Grunau","given":"L.","non-dropping-particle":"","parse-names":false,"suffix":""},{"dropping-particle":"","family":"Pague","given":"C.","non-dropping-particle":"","parse-names":false,"suffix":""}],"id":"ITEM-1","issued":{"date-parts":[["2011"]]},"publisher-place":"Fort Collins, CO","title":"The state of Colorado’s biodiversity","type":"report"},"uris":["http://www.mendeley.com/documents/?uuid=a78a68b6-245f-491f-9b37-dd9d6d70da6f"]}],"mendeley":{"formattedCitation":"(Rondeau et al. 2011)","plainTextFormattedCitation":"(Rondeau et al. 2011)","previouslyFormattedCitation":"(Rondeau et al. 2011)"},"properties":{"noteIndex":0},"schema":"https://github.com/citation-style-language/schema/raw/master/csl-citation.json"}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(Rondeau et al. 2011)</w:t>
      </w:r>
      <w:r w:rsidRPr="00F3278E">
        <w:rPr>
          <w:rFonts w:ascii="Times New Roman" w:hAnsi="Times New Roman" w:cs="Times New Roman"/>
        </w:rPr>
        <w:fldChar w:fldCharType="end"/>
      </w:r>
      <w:r w:rsidR="00584E98" w:rsidRPr="00F3278E">
        <w:rPr>
          <w:rFonts w:ascii="Times New Roman" w:hAnsi="Times New Roman" w:cs="Times New Roman"/>
        </w:rPr>
        <w:t>—primarily due to lack of conservation of its habitat, and likelihood of development impact (particularly oil and gas)</w:t>
      </w:r>
    </w:p>
    <w:p w14:paraId="7755E90C" w14:textId="312F6B07" w:rsidR="00A32038" w:rsidRPr="00F3278E" w:rsidRDefault="00A32038"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Cs/>
        </w:rPr>
        <w:t xml:space="preserve">ESA listing rule: </w:t>
      </w:r>
      <w:r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Pr="00F3278E">
        <w:rPr>
          <w:rFonts w:ascii="Times New Roman" w:hAnsi="Times New Roman" w:cs="Times New Roman"/>
          <w:iCs/>
        </w:rPr>
        <w:fldChar w:fldCharType="end"/>
      </w:r>
    </w:p>
    <w:p w14:paraId="2DE070E1" w14:textId="7AC87E41" w:rsidR="0032704B" w:rsidRPr="00F3278E" w:rsidRDefault="0061419E"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Delisting proposal: </w:t>
      </w:r>
      <w:r w:rsidR="00F1234D"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{"citationItems":[{"id":"ITEM-1","itemData":{"author":[{"dropping-particle":"","family":"Kurth","given":"James W","non-dropping-particle":"","parse-names":false,"suffix":""}],"container-title":"Federal Register: The Daily Journal of the United States","id":"ITEM-1","issue":"111","issued":{"date-parts":[["2018"]]},"page":"26623 - 26640","title":"Endangered and Threatened Wildlife and Plants; Removing Oenothera coloradensis (Colorado Butterfly Plant) From the Federal List of Endangered and Threatened Plants","type":"article-journal","volume":"83"},"uris":["http://www.mendeley.com/documents/?uuid=3a74f4ad-c41a-45f0-9ae2-9df82a0328c3"]}],"mendeley":{"formattedCitation":"(Kurth 2018)","plainTextFormattedCitation":"(Kurth 2018)","previouslyFormattedCitation":"(Kurth 2018)"},"properties":{"noteIndex":0},"schema":"https://github.com/citation-style-language/schema/raw/master/csl-citation.json"}</w:instrText>
      </w:r>
      <w:r w:rsidR="00F1234D" w:rsidRPr="00F3278E">
        <w:rPr>
          <w:rFonts w:ascii="Times New Roman" w:hAnsi="Times New Roman" w:cs="Times New Roman"/>
        </w:rPr>
        <w:fldChar w:fldCharType="separate"/>
      </w:r>
      <w:r w:rsidR="0002340D" w:rsidRPr="0002340D">
        <w:rPr>
          <w:rFonts w:ascii="Times New Roman" w:hAnsi="Times New Roman" w:cs="Times New Roman"/>
          <w:noProof/>
        </w:rPr>
        <w:t>(Kurth 2018)</w:t>
      </w:r>
      <w:r w:rsidR="00F1234D" w:rsidRPr="00F3278E">
        <w:rPr>
          <w:rFonts w:ascii="Times New Roman" w:hAnsi="Times New Roman" w:cs="Times New Roman"/>
        </w:rPr>
        <w:fldChar w:fldCharType="end"/>
      </w:r>
    </w:p>
    <w:p w14:paraId="40CB0556" w14:textId="178408A6" w:rsidR="00291E15" w:rsidRPr="00F3278E" w:rsidRDefault="00291E15"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Final desilting rule: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{"citationItems":[{"id":"ITEM-1","itemData":{"author":[{"dropping-particle":"","family":"Everson","given":"Margaret E","non-dropping-particle":"","parse-names":false,"suffix":""}],"container-title":"Federal Register: The Daily Journal of the United States","id":"ITEM-1","issue":"214","issued":{"date-parts":[["2019"]]},"page":"59570-59588","title":"Endangered and Threatened Wildlife and Plants; Removing Oenothera coloradensis (Colorado Butterfly Plant) From the Federal List of Endangered and Threatened Plants","type":"article-journal","volume":"84"},"uris":["http://www.mendeley.com/documents/?uuid=276c0e49-951d-42c8-9236-8953e9ac06a0"]}],"mendeley":{"formattedCitation":"(Everson 2019)","plainTextFormattedCitation":"(Everson 2019)","previouslyFormattedCitation":"(Everson 2019)"},"properties":{"noteIndex":0},"schema":"https://github.com/citation-style-language/schema/raw/master/csl-citation.json"}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(Everson 2019)</w:t>
      </w:r>
      <w:r w:rsidRPr="00F3278E">
        <w:rPr>
          <w:rFonts w:ascii="Times New Roman" w:hAnsi="Times New Roman" w:cs="Times New Roman"/>
        </w:rPr>
        <w:fldChar w:fldCharType="end"/>
      </w:r>
    </w:p>
    <w:p w14:paraId="2C75593B" w14:textId="6D960EA8" w:rsidR="00E06DA4" w:rsidRPr="00F3278E" w:rsidRDefault="00E06DA4" w:rsidP="00715E40">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2021 WYNDD monitoring report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(Heidel et al. 2021)</w:t>
      </w:r>
      <w:r w:rsidRPr="00F3278E">
        <w:rPr>
          <w:rFonts w:ascii="Times New Roman" w:hAnsi="Times New Roman" w:cs="Times New Roman"/>
        </w:rPr>
        <w:fldChar w:fldCharType="end"/>
      </w:r>
      <w:r w:rsidR="00715E40" w:rsidRPr="00F3278E">
        <w:rPr>
          <w:rFonts w:ascii="Times New Roman" w:hAnsi="Times New Roman" w:cs="Times New Roman"/>
        </w:rPr>
        <w:t xml:space="preserve"> (incorporates census data through 2020)</w:t>
      </w:r>
    </w:p>
    <w:p w14:paraId="627B3B5E" w14:textId="374EB956" w:rsidR="001A1048" w:rsidRPr="00F3278E" w:rsidRDefault="001A1048" w:rsidP="001A1048">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Previous work</w:t>
      </w:r>
    </w:p>
    <w:p w14:paraId="6228EF4F" w14:textId="54157678" w:rsidR="001A1048" w:rsidRPr="00F3278E" w:rsidRDefault="001A1048"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Floyd and Ranker; Burgess; WYNDD monitoring; Soapstone counts? </w:t>
      </w:r>
    </w:p>
    <w:p w14:paraId="566EC198" w14:textId="1E6B441D" w:rsidR="003C4FC7" w:rsidRPr="00F3278E" w:rsidRDefault="003C4FC7"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Floyd and Ranker identified size as the more important for lambda than age</w:t>
      </w:r>
    </w:p>
    <w:p w14:paraId="616E1DE7" w14:textId="383AC3D2"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Brief synopsis of what we did</w:t>
      </w:r>
    </w:p>
    <w:p w14:paraId="5CA29EA0" w14:textId="4F13C4B9" w:rsidR="00A94FCE"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Methods</w:t>
      </w:r>
    </w:p>
    <w:p w14:paraId="446EC76C" w14:textId="35165B56" w:rsidR="00E03687" w:rsidRPr="00F3278E" w:rsidRDefault="00E03687" w:rsidP="002A6DF5">
      <w:pPr>
        <w:spacing w:line="480" w:lineRule="auto"/>
        <w:rPr>
          <w:rFonts w:ascii="Times New Roman" w:hAnsi="Times New Roman" w:cs="Times New Roman"/>
          <w:i/>
          <w:iCs/>
        </w:rPr>
      </w:pPr>
      <w:r w:rsidRPr="00F3278E">
        <w:rPr>
          <w:rFonts w:ascii="Times New Roman" w:hAnsi="Times New Roman" w:cs="Times New Roman"/>
          <w:i/>
          <w:iCs/>
        </w:rPr>
        <w:t>Species description</w:t>
      </w:r>
    </w:p>
    <w:p w14:paraId="31FC4972" w14:textId="31B5676A" w:rsidR="009E40E7" w:rsidRDefault="009E40E7" w:rsidP="00B8204B">
      <w:pPr>
        <w:spacing w:line="480" w:lineRule="auto"/>
        <w:ind w:firstLine="360"/>
        <w:rPr>
          <w:rFonts w:ascii="Times New Roman" w:hAnsi="Times New Roman" w:cs="Times New Roman"/>
        </w:rPr>
      </w:pPr>
      <w:r w:rsidRPr="00F3278E">
        <w:rPr>
          <w:rFonts w:ascii="Times New Roman" w:hAnsi="Times New Roman" w:cs="Times New Roman"/>
          <w:i/>
          <w:iCs/>
        </w:rPr>
        <w:t>Oenothera coloradensis</w:t>
      </w:r>
      <w:r w:rsidRPr="00F3278E">
        <w:rPr>
          <w:rFonts w:ascii="Times New Roman" w:hAnsi="Times New Roman" w:cs="Times New Roman"/>
        </w:rPr>
        <w:t xml:space="preserve">, formerly </w:t>
      </w:r>
      <w:proofErr w:type="spellStart"/>
      <w:r w:rsidRPr="00F3278E">
        <w:rPr>
          <w:rFonts w:ascii="Times New Roman" w:hAnsi="Times New Roman" w:cs="Times New Roman"/>
          <w:i/>
          <w:iCs/>
        </w:rPr>
        <w:t>Gaura</w:t>
      </w:r>
      <w:proofErr w:type="spellEnd"/>
      <w:r w:rsidRPr="00F3278E">
        <w:rPr>
          <w:rFonts w:ascii="Times New Roman" w:hAnsi="Times New Roman" w:cs="Times New Roman"/>
          <w:i/>
          <w:iCs/>
        </w:rPr>
        <w:t xml:space="preserve"> </w:t>
      </w:r>
      <w:proofErr w:type="spellStart"/>
      <w:r w:rsidRPr="00F3278E">
        <w:rPr>
          <w:rFonts w:ascii="Times New Roman" w:hAnsi="Times New Roman" w:cs="Times New Roman"/>
          <w:i/>
          <w:iCs/>
        </w:rPr>
        <w:t>neomexicana</w:t>
      </w:r>
      <w:proofErr w:type="spellEnd"/>
      <w:r w:rsidRPr="00F3278E">
        <w:rPr>
          <w:rFonts w:ascii="Times New Roman" w:hAnsi="Times New Roman" w:cs="Times New Roman"/>
          <w:i/>
          <w:iCs/>
        </w:rPr>
        <w:t xml:space="preserve"> spp. coloradensis</w:t>
      </w:r>
      <w:r w:rsidR="0089406E" w:rsidRPr="00F3278E">
        <w:rPr>
          <w:rFonts w:ascii="Times New Roman" w:hAnsi="Times New Roman" w:cs="Times New Roman"/>
          <w:i/>
          <w:iCs/>
        </w:rPr>
        <w:t xml:space="preserve"> </w:t>
      </w:r>
      <w:r w:rsidR="0089406E" w:rsidRPr="00F3278E">
        <w:rPr>
          <w:rFonts w:ascii="Times New Roman" w:hAnsi="Times New Roman" w:cs="Times New Roman"/>
          <w:i/>
          <w:iCs/>
        </w:rPr>
        <w:fldChar w:fldCharType="begin" w:fldLock="1"/>
      </w:r>
      <w:r w:rsidR="00143F37">
        <w:rPr>
          <w:rFonts w:ascii="Times New Roman" w:hAnsi="Times New Roman" w:cs="Times New Roman"/>
          <w:i/>
          <w:iCs/>
        </w:rPr>
        <w:instrText>ADDIN CSL_CITATION {"citationItems":[{"id":"ITEM-1","itemData":{"ISBN":"0-912861-83-5","ISSN":"0737-8211","abstract":"Recent molecular phylogenetic analyses in the plant family Onagraceae support the need for revisions in the family classification. In this paper we briefly survey the history of generic and suprageneric clas- sification in Onagraceae, summarize our knowledge of the morphological and molecular variation in the family in a phylogenetic context, and propose a revised classification that reflects that phylogeny.We include a species- level synopsis of the family, incorporating all nomenclatural changes and combinations but not full species-level synonymy. We provide descriptions of all taxa recognized for the first time, as well as tribes, genera, sections, subsections, and series. In this treatment, we recognize 22 genera in the family, subdivided into two subfamilies, subfam. Ludwigioideae (only Ludwigia) and subfam. Onagroideae (the other genera), and the latter into six tribes, two with only one genus each, three with two genera each, and one (tribe Onagreae) with 13 genera. Chro- mosome numbers and breeding system information are summarized, as is the geographical and ecological dis- tribution of each taxon. For each group we list the included taxa. Many changes involve the tribe Onagreae, from which we have segregated Gongylocarpus as its own tribe, sister to the tribes Epilobieae and Onagreae, and within which we propose changes in the delimitation of Camissonia and Oenothera. Camissonia as currently de- fined is broadly paraphyletic; our new classification recognizes nine generic lineages (Camissonia, Camisso- niopsis, Chylismia, Chylismiella, Eremothera, Eulobus, Holmgrenia, Taraxia, and Tetrapteron), which in part form a grade at the base of Oenothera. Each of these lineages is well-supported by morphological and molecu- lar data. In contrast, molecular and morphological data both suggest the need to broaden the delimitation of Oenothera to include Calylophus, Gaura, and Stenosiphon. This redefined Oenothera, strongly supported by molecular data, is marked by at least two morphological synapomorphies: the presence of an indusium on the style, and a lobed or peltate stigma. We summarize these new generic alignments and review the morphological characters used to diagnose all tribes, genera, and sections. New taxa recognized include subfamilies Ludwigioideae and Onagroideae, two genera (Camissoniopsis and Holmgrenia), three sections (Epilobium sect. Macrocarpa, Oenothera sect. Leucocoryne, and O. sect. Xan- thocoryne), and one subspecies (O. macrocar…","author":[{"dropping-particle":"","family":"Wagner","given":"Warren L","non-dropping-particle":"","parse-names":false,"suffix":""},{"dropping-particle":"","family":"Hoch","given":"Peter C","non-dropping-particle":"","parse-names":false,"suffix":""},{"dropping-particle":"","family":"Raven","given":"Peter H","non-dropping-particle":"","parse-names":false,"suffix":""}],"container-title":"Systematic Botany Monographs","id":"ITEM-1","issued":{"date-parts":[["2007","4"]]},"publisher":"The American Society of Plant Taxonomists","title":"Revised Classification of the Onagraceae","type":"book","volume":"83"},"uris":["http://www.mendeley.com/documents/?uuid=b1858453-6b8a-4fc3-a15c-2e709408f7f1"]}],"mendeley":{"formattedCitation":"(Wagner et al. 2007)","plainTextFormattedCitation":"(Wagner et al. 2007)","previouslyFormattedCitation":"(Wagner et al. 2007)"},"properties":{"noteIndex":0},"schema":"https://github.com/citation-style-language/schema/raw/master/csl-citation.json"}</w:instrText>
      </w:r>
      <w:r w:rsidR="0089406E" w:rsidRPr="00F3278E">
        <w:rPr>
          <w:rFonts w:ascii="Times New Roman" w:hAnsi="Times New Roman" w:cs="Times New Roman"/>
          <w:i/>
          <w:iCs/>
        </w:rPr>
        <w:fldChar w:fldCharType="separate"/>
      </w:r>
      <w:r w:rsidR="0002340D" w:rsidRPr="0002340D">
        <w:rPr>
          <w:rFonts w:ascii="Times New Roman" w:hAnsi="Times New Roman" w:cs="Times New Roman"/>
          <w:iCs/>
          <w:noProof/>
        </w:rPr>
        <w:t>(Wagner et al. 2007)</w:t>
      </w:r>
      <w:r w:rsidR="0089406E" w:rsidRPr="00F3278E">
        <w:rPr>
          <w:rFonts w:ascii="Times New Roman" w:hAnsi="Times New Roman" w:cs="Times New Roman"/>
          <w:i/>
          <w:iCs/>
        </w:rPr>
        <w:fldChar w:fldCharType="end"/>
      </w:r>
      <w:r w:rsidRPr="00F3278E">
        <w:rPr>
          <w:rFonts w:ascii="Times New Roman" w:hAnsi="Times New Roman" w:cs="Times New Roman"/>
        </w:rPr>
        <w:t>, is an herbaceous</w:t>
      </w:r>
      <w:r w:rsidR="00FD494A" w:rsidRPr="00F3278E">
        <w:rPr>
          <w:rFonts w:ascii="Times New Roman" w:hAnsi="Times New Roman" w:cs="Times New Roman"/>
        </w:rPr>
        <w:t xml:space="preserve">, monocarpic perennial </w:t>
      </w:r>
      <w:r w:rsidRPr="00F3278E">
        <w:rPr>
          <w:rFonts w:ascii="Times New Roman" w:hAnsi="Times New Roman" w:cs="Times New Roman"/>
        </w:rPr>
        <w:t>plant</w:t>
      </w:r>
      <w:r w:rsidR="00FD494A" w:rsidRPr="00F3278E">
        <w:rPr>
          <w:rFonts w:ascii="Times New Roman" w:hAnsi="Times New Roman" w:cs="Times New Roman"/>
        </w:rPr>
        <w:t xml:space="preserve"> </w:t>
      </w:r>
      <w:r w:rsidRPr="00F3278E">
        <w:rPr>
          <w:rFonts w:ascii="Times New Roman" w:hAnsi="Times New Roman" w:cs="Times New Roman"/>
        </w:rPr>
        <w:t xml:space="preserve">in the </w:t>
      </w:r>
      <w:proofErr w:type="spellStart"/>
      <w:r w:rsidRPr="00F3278E">
        <w:rPr>
          <w:rFonts w:ascii="Times New Roman" w:hAnsi="Times New Roman" w:cs="Times New Roman"/>
        </w:rPr>
        <w:t>Onagraceae</w:t>
      </w:r>
      <w:proofErr w:type="spellEnd"/>
      <w:r w:rsidRPr="00F3278E">
        <w:rPr>
          <w:rFonts w:ascii="Times New Roman" w:hAnsi="Times New Roman" w:cs="Times New Roman"/>
        </w:rPr>
        <w:t xml:space="preserve"> family.</w:t>
      </w:r>
      <w:r w:rsidR="00FD494A" w:rsidRPr="00F3278E">
        <w:rPr>
          <w:rFonts w:ascii="Times New Roman" w:hAnsi="Times New Roman" w:cs="Times New Roman"/>
        </w:rPr>
        <w:t xml:space="preserve"> </w:t>
      </w:r>
      <w:r w:rsidR="008657EA">
        <w:rPr>
          <w:rFonts w:ascii="Times New Roman" w:hAnsi="Times New Roman" w:cs="Times New Roman"/>
        </w:rPr>
        <w:t>Non-reproductive plants consist of</w:t>
      </w:r>
      <w:r w:rsidR="00407542">
        <w:rPr>
          <w:rFonts w:ascii="Times New Roman" w:hAnsi="Times New Roman" w:cs="Times New Roman"/>
        </w:rPr>
        <w:t xml:space="preserve"> a rosette of basal leaves</w:t>
      </w:r>
      <w:r w:rsidR="008657EA">
        <w:rPr>
          <w:rFonts w:ascii="Times New Roman" w:hAnsi="Times New Roman" w:cs="Times New Roman"/>
        </w:rPr>
        <w:t xml:space="preserve"> with a fleshy taproot.</w:t>
      </w:r>
      <w:r w:rsidR="00407542">
        <w:rPr>
          <w:rFonts w:ascii="Times New Roman" w:hAnsi="Times New Roman" w:cs="Times New Roman"/>
        </w:rPr>
        <w:t xml:space="preserve"> </w:t>
      </w:r>
      <w:r w:rsidR="008657EA">
        <w:rPr>
          <w:rFonts w:ascii="Times New Roman" w:hAnsi="Times New Roman" w:cs="Times New Roman"/>
        </w:rPr>
        <w:t>Flowering typically occurs around four years of age, when plants</w:t>
      </w:r>
      <w:r w:rsidR="00407542">
        <w:rPr>
          <w:rFonts w:ascii="Times New Roman" w:hAnsi="Times New Roman" w:cs="Times New Roman"/>
        </w:rPr>
        <w:t xml:space="preserve"> send up a stalk between 10 and 30 cm tall that bears flowers and fruits. </w:t>
      </w:r>
      <w:r w:rsidR="00FD494A" w:rsidRPr="00F3278E">
        <w:rPr>
          <w:rFonts w:ascii="Times New Roman" w:hAnsi="Times New Roman" w:cs="Times New Roman"/>
        </w:rPr>
        <w:t>Plants almost always die after flowering</w:t>
      </w:r>
      <w:r w:rsidR="008657EA">
        <w:rPr>
          <w:rFonts w:ascii="Times New Roman" w:hAnsi="Times New Roman" w:cs="Times New Roman"/>
        </w:rPr>
        <w:t>.</w:t>
      </w:r>
      <w:r w:rsidR="007C078F" w:rsidRPr="00F3278E">
        <w:rPr>
          <w:rFonts w:ascii="Times New Roman" w:hAnsi="Times New Roman" w:cs="Times New Roman"/>
        </w:rPr>
        <w:t xml:space="preserve"> </w:t>
      </w:r>
      <w:r w:rsidR="00B8204B">
        <w:rPr>
          <w:rFonts w:ascii="Times New Roman" w:hAnsi="Times New Roman" w:cs="Times New Roman"/>
        </w:rPr>
        <w:t xml:space="preserve">Seeds are contained within small, woody, indehiscent capsules that contain two to five seeds each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A single adult plant can produce more than 500 capsules. </w:t>
      </w:r>
      <w:r w:rsidR="002001C0" w:rsidRPr="00F3278E">
        <w:rPr>
          <w:rFonts w:ascii="Times New Roman" w:hAnsi="Times New Roman" w:cs="Times New Roman"/>
        </w:rPr>
        <w:t>This species does not reproduce vegetatively,</w:t>
      </w:r>
      <w:r w:rsidR="007C078F" w:rsidRPr="00F3278E">
        <w:rPr>
          <w:rFonts w:ascii="Times New Roman" w:hAnsi="Times New Roman" w:cs="Times New Roman"/>
        </w:rPr>
        <w:t xml:space="preserve"> although seeds typically germinate near the base of the parent plant</w:t>
      </w:r>
      <w:r w:rsidR="00C51AD3" w:rsidRPr="00F3278E">
        <w:rPr>
          <w:rFonts w:ascii="Times New Roman" w:hAnsi="Times New Roman" w:cs="Times New Roman"/>
        </w:rPr>
        <w:t>,</w:t>
      </w:r>
      <w:r w:rsidR="002001C0" w:rsidRPr="00F3278E">
        <w:rPr>
          <w:rFonts w:ascii="Times New Roman" w:hAnsi="Times New Roman" w:cs="Times New Roman"/>
        </w:rPr>
        <w:t xml:space="preserve"> </w:t>
      </w:r>
      <w:r w:rsidR="001934D4" w:rsidRPr="00F3278E">
        <w:rPr>
          <w:rFonts w:ascii="Times New Roman" w:hAnsi="Times New Roman" w:cs="Times New Roman"/>
        </w:rPr>
        <w:t xml:space="preserve">which often </w:t>
      </w:r>
      <w:r w:rsidR="00C51AD3" w:rsidRPr="00F3278E">
        <w:rPr>
          <w:rFonts w:ascii="Times New Roman" w:hAnsi="Times New Roman" w:cs="Times New Roman"/>
        </w:rPr>
        <w:t>results in</w:t>
      </w:r>
      <w:r w:rsidR="007C078F" w:rsidRPr="00F3278E">
        <w:rPr>
          <w:rFonts w:ascii="Times New Roman" w:hAnsi="Times New Roman" w:cs="Times New Roman"/>
        </w:rPr>
        <w:t xml:space="preserve"> dense clumps o</w:t>
      </w:r>
      <w:r w:rsidR="001934D4" w:rsidRPr="00F3278E">
        <w:rPr>
          <w:rFonts w:ascii="Times New Roman" w:hAnsi="Times New Roman" w:cs="Times New Roman"/>
        </w:rPr>
        <w:t xml:space="preserve">f mature individuals </w:t>
      </w:r>
      <w:r w:rsidR="001934D4"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1934D4" w:rsidRPr="00F3278E">
        <w:rPr>
          <w:rFonts w:ascii="Times New Roman" w:hAnsi="Times New Roman" w:cs="Times New Roman"/>
        </w:rPr>
        <w:fldChar w:fldCharType="separate"/>
      </w:r>
      <w:r w:rsidR="0002340D" w:rsidRPr="0002340D">
        <w:rPr>
          <w:rFonts w:ascii="Times New Roman" w:hAnsi="Times New Roman" w:cs="Times New Roman"/>
          <w:noProof/>
        </w:rPr>
        <w:t>(Heidel et al. 2021)</w:t>
      </w:r>
      <w:r w:rsidR="001934D4" w:rsidRPr="00F3278E">
        <w:rPr>
          <w:rFonts w:ascii="Times New Roman" w:hAnsi="Times New Roman" w:cs="Times New Roman"/>
        </w:rPr>
        <w:fldChar w:fldCharType="end"/>
      </w:r>
      <w:r w:rsidR="001934D4" w:rsidRPr="00F3278E">
        <w:rPr>
          <w:rFonts w:ascii="Times New Roman" w:hAnsi="Times New Roman" w:cs="Times New Roman"/>
        </w:rPr>
        <w:t>.</w:t>
      </w:r>
      <w:r w:rsidR="00797162">
        <w:rPr>
          <w:rFonts w:ascii="Times New Roman" w:hAnsi="Times New Roman" w:cs="Times New Roman"/>
        </w:rPr>
        <w:t xml:space="preserve"> </w:t>
      </w:r>
      <w:r w:rsidR="00407542" w:rsidRPr="00F3278E">
        <w:rPr>
          <w:rFonts w:ascii="Times New Roman" w:hAnsi="Times New Roman" w:cs="Times New Roman"/>
          <w:i/>
          <w:iCs/>
        </w:rPr>
        <w:t>O. coloradensis</w:t>
      </w:r>
      <w:r w:rsidR="00407542" w:rsidRPr="00F3278E">
        <w:rPr>
          <w:rFonts w:ascii="Times New Roman" w:hAnsi="Times New Roman" w:cs="Times New Roman"/>
        </w:rPr>
        <w:t xml:space="preserve"> has no known specialist pollinators or seed dispersers.</w:t>
      </w:r>
      <w:r w:rsidR="00407542">
        <w:rPr>
          <w:rFonts w:ascii="Times New Roman" w:hAnsi="Times New Roman" w:cs="Times New Roman"/>
        </w:rPr>
        <w:t xml:space="preserve">  </w:t>
      </w:r>
    </w:p>
    <w:p w14:paraId="2ADB698E" w14:textId="180CEF1C" w:rsidR="00B8204B" w:rsidRDefault="008657EA" w:rsidP="00B8204B">
      <w:pPr>
        <w:spacing w:line="480" w:lineRule="auto"/>
        <w:ind w:firstLine="360"/>
        <w:rPr>
          <w:rFonts w:ascii="Times New Roman" w:hAnsi="Times New Roman" w:cs="Times New Roman"/>
        </w:rPr>
      </w:pPr>
      <w:r>
        <w:rPr>
          <w:rFonts w:ascii="Times New Roman" w:hAnsi="Times New Roman" w:cs="Times New Roman"/>
        </w:rPr>
        <w:t xml:space="preserve">Previous work </w:t>
      </w:r>
      <w:r w:rsidR="000C17BA">
        <w:rPr>
          <w:rFonts w:ascii="Times New Roman" w:hAnsi="Times New Roman" w:cs="Times New Roman"/>
        </w:rPr>
        <w:t xml:space="preserve">established that </w:t>
      </w:r>
      <w:r w:rsidR="000C17BA">
        <w:rPr>
          <w:rFonts w:ascii="Times New Roman" w:hAnsi="Times New Roman" w:cs="Times New Roman"/>
          <w:i/>
          <w:iCs/>
        </w:rPr>
        <w:t>O. coloradensis</w:t>
      </w:r>
      <w:r w:rsidR="000C17BA">
        <w:rPr>
          <w:rFonts w:ascii="Times New Roman" w:hAnsi="Times New Roman" w:cs="Times New Roman"/>
        </w:rPr>
        <w:t xml:space="preserve"> population growth rate is particularly</w:t>
      </w:r>
      <w:r>
        <w:rPr>
          <w:rFonts w:ascii="Times New Roman" w:hAnsi="Times New Roman" w:cs="Times New Roman"/>
        </w:rPr>
        <w:t xml:space="preserve"> </w:t>
      </w:r>
      <w:r w:rsidR="000C17BA">
        <w:rPr>
          <w:rFonts w:ascii="Times New Roman" w:hAnsi="Times New Roman" w:cs="Times New Roman"/>
        </w:rPr>
        <w:t xml:space="preserve">impacted by recruitment of individuals to the small rosette, or seedling, stage </w:t>
      </w:r>
      <w:r w:rsidR="000C17BA">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and Ranker 1998)","plainTextFormattedCitation":"(Floyd and Ranker 1998)","previouslyFormattedCitation":"(Floyd and Ranker 1998)"},"properties":{"noteIndex":0},"schema":"https://github.com/citation-style-language/schema/raw/master/csl-citation.json"}</w:instrText>
      </w:r>
      <w:r w:rsidR="000C17BA">
        <w:rPr>
          <w:rFonts w:ascii="Times New Roman" w:hAnsi="Times New Roman" w:cs="Times New Roman"/>
        </w:rPr>
        <w:fldChar w:fldCharType="separate"/>
      </w:r>
      <w:r w:rsidR="0002340D" w:rsidRPr="0002340D">
        <w:rPr>
          <w:rFonts w:ascii="Times New Roman" w:hAnsi="Times New Roman" w:cs="Times New Roman"/>
          <w:noProof/>
        </w:rPr>
        <w:t>(Floyd and Ranker 1998)</w:t>
      </w:r>
      <w:r w:rsidR="000C17BA">
        <w:rPr>
          <w:rFonts w:ascii="Times New Roman" w:hAnsi="Times New Roman" w:cs="Times New Roman"/>
        </w:rPr>
        <w:fldChar w:fldCharType="end"/>
      </w:r>
      <w:r w:rsidR="000C17BA">
        <w:rPr>
          <w:rFonts w:ascii="Times New Roman" w:hAnsi="Times New Roman" w:cs="Times New Roman"/>
        </w:rPr>
        <w:t>.</w:t>
      </w:r>
      <w:r w:rsidR="001637DC">
        <w:rPr>
          <w:rFonts w:ascii="Times New Roman" w:hAnsi="Times New Roman" w:cs="Times New Roman"/>
        </w:rPr>
        <w:t xml:space="preserve"> Seedling recruitment increases when non-</w:t>
      </w:r>
      <w:r w:rsidR="001637DC">
        <w:rPr>
          <w:rFonts w:ascii="Times New Roman" w:hAnsi="Times New Roman" w:cs="Times New Roman"/>
          <w:i/>
          <w:iCs/>
        </w:rPr>
        <w:t>O. coloradensis</w:t>
      </w:r>
      <w:r w:rsidR="001637DC">
        <w:rPr>
          <w:rFonts w:ascii="Times New Roman" w:hAnsi="Times New Roman" w:cs="Times New Roman"/>
        </w:rPr>
        <w:t xml:space="preserve"> biomass is removed, indicating that surrounding grasses and forbs </w:t>
      </w:r>
      <w:r w:rsidR="007137C7">
        <w:rPr>
          <w:rFonts w:ascii="Times New Roman" w:hAnsi="Times New Roman" w:cs="Times New Roman"/>
        </w:rPr>
        <w:t>outcompete or shade-out seedlings</w:t>
      </w:r>
      <w:r w:rsidR="001637DC">
        <w:rPr>
          <w:rFonts w:ascii="Times New Roman" w:hAnsi="Times New Roman" w:cs="Times New Roman"/>
        </w:rPr>
        <w:t xml:space="preserve"> </w:t>
      </w:r>
      <w:r w:rsidR="001637DC">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1637DC">
        <w:rPr>
          <w:rFonts w:ascii="Times New Roman" w:hAnsi="Times New Roman" w:cs="Times New Roman"/>
        </w:rPr>
        <w:fldChar w:fldCharType="separate"/>
      </w:r>
      <w:r w:rsidR="0002340D" w:rsidRPr="0002340D">
        <w:rPr>
          <w:rFonts w:ascii="Times New Roman" w:hAnsi="Times New Roman" w:cs="Times New Roman"/>
          <w:noProof/>
        </w:rPr>
        <w:t>(Munk et al. 2002)</w:t>
      </w:r>
      <w:r w:rsidR="001637DC">
        <w:rPr>
          <w:rFonts w:ascii="Times New Roman" w:hAnsi="Times New Roman" w:cs="Times New Roman"/>
        </w:rPr>
        <w:fldChar w:fldCharType="end"/>
      </w:r>
      <w:r w:rsidR="001637DC">
        <w:rPr>
          <w:rFonts w:ascii="Times New Roman" w:hAnsi="Times New Roman" w:cs="Times New Roman"/>
        </w:rPr>
        <w:t>.</w:t>
      </w:r>
      <w:r w:rsidR="00B8204B">
        <w:rPr>
          <w:rFonts w:ascii="Times New Roman" w:hAnsi="Times New Roman" w:cs="Times New Roman"/>
        </w:rPr>
        <w:t xml:space="preserve"> Previous work also suggests that seedbanks are important for this species, since years of high seedling density are not necessarily preceded by years of high rates of flowering and seed production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(Munk et al. 2002)</w:t>
      </w:r>
      <w:r w:rsidR="00B8204B">
        <w:rPr>
          <w:rFonts w:ascii="Times New Roman" w:hAnsi="Times New Roman" w:cs="Times New Roman"/>
        </w:rPr>
        <w:fldChar w:fldCharType="end"/>
      </w:r>
      <w:r w:rsidR="00B8204B">
        <w:rPr>
          <w:rFonts w:ascii="Times New Roman" w:hAnsi="Times New Roman" w:cs="Times New Roman"/>
        </w:rPr>
        <w:t xml:space="preserve">. </w:t>
      </w:r>
      <w:r w:rsidR="000C17BA">
        <w:rPr>
          <w:rFonts w:ascii="Times New Roman" w:hAnsi="Times New Roman" w:cs="Times New Roman"/>
        </w:rPr>
        <w:t xml:space="preserve">The </w:t>
      </w:r>
      <w:r w:rsidR="00B8204B">
        <w:rPr>
          <w:rFonts w:ascii="Times New Roman" w:hAnsi="Times New Roman" w:cs="Times New Roman"/>
          <w:i/>
          <w:iCs/>
        </w:rPr>
        <w:t xml:space="preserve">O. coloradensis </w:t>
      </w:r>
      <w:r w:rsidR="000C17BA">
        <w:rPr>
          <w:rFonts w:ascii="Times New Roman" w:hAnsi="Times New Roman" w:cs="Times New Roman"/>
        </w:rPr>
        <w:t xml:space="preserve">seedbank has not been </w:t>
      </w:r>
      <w:r w:rsidR="00B8204B">
        <w:rPr>
          <w:rFonts w:ascii="Times New Roman" w:hAnsi="Times New Roman" w:cs="Times New Roman"/>
        </w:rPr>
        <w:t>studied directly</w:t>
      </w:r>
      <w:r w:rsidR="000C17BA">
        <w:rPr>
          <w:rFonts w:ascii="Times New Roman" w:hAnsi="Times New Roman" w:cs="Times New Roman"/>
        </w:rPr>
        <w:t xml:space="preserve">, </w:t>
      </w:r>
      <w:r w:rsidR="00B8204B">
        <w:rPr>
          <w:rFonts w:ascii="Times New Roman" w:hAnsi="Times New Roman" w:cs="Times New Roman"/>
        </w:rPr>
        <w:t xml:space="preserve">but a greenhouse seed viability and germination study showed that an average of 58% of seeds produced by a parent plant are viable, and that a viable seed has a 20% mean probability of germinating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Neither seed viability nor germination rate changed meaningfully over the five years of the study. These results also showed that two-months of cold-moist stratification triggered germination. </w:t>
      </w:r>
      <w:r w:rsidR="00B8204B">
        <w:rPr>
          <w:rFonts w:ascii="Times New Roman" w:hAnsi="Times New Roman" w:cs="Times New Roman"/>
        </w:rPr>
        <w:tab/>
      </w:r>
    </w:p>
    <w:p w14:paraId="6E7AE5F5" w14:textId="3B2F2DD9" w:rsidR="000335B3" w:rsidRDefault="000335B3" w:rsidP="00B8204B">
      <w:pPr>
        <w:spacing w:line="480" w:lineRule="auto"/>
        <w:ind w:firstLine="360"/>
        <w:rPr>
          <w:rFonts w:ascii="Times New Roman" w:hAnsi="Times New Roman" w:cs="Times New Roman"/>
          <w:iCs/>
        </w:rPr>
      </w:pPr>
      <w:r w:rsidRPr="00F3278E">
        <w:rPr>
          <w:rFonts w:ascii="Times New Roman" w:hAnsi="Times New Roman" w:cs="Times New Roman"/>
        </w:rPr>
        <w:t>This species primarily occurs in open, frequently disturbed habitats with sub</w:t>
      </w:r>
      <w:r w:rsidR="00B21A84" w:rsidRPr="00F3278E">
        <w:rPr>
          <w:rFonts w:ascii="Times New Roman" w:hAnsi="Times New Roman" w:cs="Times New Roman"/>
        </w:rPr>
        <w:t>-</w:t>
      </w:r>
      <w:r w:rsidRPr="00F3278E">
        <w:rPr>
          <w:rFonts w:ascii="Times New Roman" w:hAnsi="Times New Roman" w:cs="Times New Roman"/>
        </w:rPr>
        <w:t xml:space="preserve">irrigated, alluvial soils </w:t>
      </w:r>
      <w:r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Pr="00F3278E">
        <w:rPr>
          <w:rFonts w:ascii="Times New Roman" w:hAnsi="Times New Roman" w:cs="Times New Roman"/>
          <w:iCs/>
        </w:rPr>
        <w:fldChar w:fldCharType="end"/>
      </w:r>
      <w:r w:rsidRPr="00F3278E">
        <w:rPr>
          <w:rFonts w:ascii="Times New Roman" w:hAnsi="Times New Roman" w:cs="Times New Roman"/>
          <w:iCs/>
        </w:rPr>
        <w:t>. Populations typically occur within the floodplain of ephemeral or perennial streams, but also exist in wet meadows</w:t>
      </w:r>
      <w:r w:rsidR="00F3278E" w:rsidRPr="00F3278E">
        <w:rPr>
          <w:rFonts w:ascii="Times New Roman" w:hAnsi="Times New Roman" w:cs="Times New Roman"/>
          <w:iCs/>
        </w:rPr>
        <w:t xml:space="preserve">, </w:t>
      </w:r>
      <w:r w:rsidR="00B21A84" w:rsidRPr="00F3278E">
        <w:rPr>
          <w:rFonts w:ascii="Times New Roman" w:hAnsi="Times New Roman" w:cs="Times New Roman"/>
          <w:iCs/>
        </w:rPr>
        <w:t>drainage bottom</w:t>
      </w:r>
      <w:r w:rsidR="00F3278E" w:rsidRPr="00F3278E">
        <w:rPr>
          <w:rFonts w:ascii="Times New Roman" w:hAnsi="Times New Roman" w:cs="Times New Roman"/>
          <w:iCs/>
        </w:rPr>
        <w:t>s, and spring-fed wetlands</w:t>
      </w:r>
      <w:r w:rsidR="00B21A84" w:rsidRPr="00F3278E">
        <w:rPr>
          <w:rFonts w:ascii="Times New Roman" w:hAnsi="Times New Roman" w:cs="Times New Roman"/>
          <w:iCs/>
        </w:rPr>
        <w:t xml:space="preserve"> </w:t>
      </w:r>
      <w:r w:rsidR="00B21A84"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{"citationItems":[{"id":"ITEM-1","itemData":{"ISBN":"0315880678","ISSN":"0091-6749","author":[{"dropping-particle":"","family":"Munk","given":"Linda M","non-dropping-particle":"","parse-names":false,"suffix":""}],"id":"ITEM-1","issued":{"date-parts":[["1999"]]},"publisher":"University of Wyoming","title":"Colorado butterfly plant (Gaura neomexicana spp. coloradensis) regeneration with removal of Canada thistle (Cirsium arvense) or native herbs","type":"thesis"},"uris":["http://www.mendeley.com/documents/?uuid=1f85558f-0240-426d-8644-3aaf2cdd6f2e"]}],"mendeley":{"formattedCitation":"(Munk 1999)","plainTextFormattedCitation":"(Munk 1999)","previouslyFormattedCitation":"(Munk 1999)"},"properties":{"noteIndex":0},"schema":"https://github.com/citation-style-language/schema/raw/master/csl-citation.json"}</w:instrText>
      </w:r>
      <w:r w:rsidR="00B21A84" w:rsidRPr="00F3278E">
        <w:rPr>
          <w:rFonts w:ascii="Times New Roman" w:hAnsi="Times New Roman" w:cs="Times New Roman"/>
          <w:iCs/>
        </w:rPr>
        <w:fldChar w:fldCharType="separate"/>
      </w:r>
      <w:r w:rsidR="0002340D" w:rsidRPr="0002340D">
        <w:rPr>
          <w:rFonts w:ascii="Times New Roman" w:hAnsi="Times New Roman" w:cs="Times New Roman"/>
          <w:iCs/>
          <w:noProof/>
        </w:rPr>
        <w:t>(Munk 1999)</w:t>
      </w:r>
      <w:r w:rsidR="00B21A84" w:rsidRPr="00F3278E">
        <w:rPr>
          <w:rFonts w:ascii="Times New Roman" w:hAnsi="Times New Roman" w:cs="Times New Roman"/>
          <w:iCs/>
        </w:rPr>
        <w:fldChar w:fldCharType="end"/>
      </w:r>
      <w:r w:rsidRPr="00F3278E">
        <w:rPr>
          <w:rFonts w:ascii="Times New Roman" w:hAnsi="Times New Roman" w:cs="Times New Roman"/>
          <w:iCs/>
        </w:rPr>
        <w:t xml:space="preserve">. </w:t>
      </w:r>
      <w:r w:rsidR="004518F9">
        <w:rPr>
          <w:rFonts w:ascii="Times New Roman" w:hAnsi="Times New Roman" w:cs="Times New Roman"/>
          <w:i/>
        </w:rPr>
        <w:t>O</w:t>
      </w:r>
      <w:r w:rsidR="004518F9" w:rsidRPr="004518F9">
        <w:rPr>
          <w:rFonts w:ascii="Times New Roman" w:hAnsi="Times New Roman" w:cs="Times New Roman"/>
          <w:iCs/>
        </w:rPr>
        <w:t xml:space="preserve">. </w:t>
      </w:r>
      <w:r w:rsidR="004518F9" w:rsidRPr="004518F9">
        <w:rPr>
          <w:rFonts w:ascii="Times New Roman" w:hAnsi="Times New Roman" w:cs="Times New Roman"/>
          <w:i/>
        </w:rPr>
        <w:t>coloradensis</w:t>
      </w:r>
      <w:r w:rsidR="004518F9">
        <w:rPr>
          <w:rFonts w:ascii="Times New Roman" w:hAnsi="Times New Roman" w:cs="Times New Roman"/>
          <w:iCs/>
        </w:rPr>
        <w:t xml:space="preserve"> commonly co-occurs with </w:t>
      </w:r>
      <w:r w:rsidR="004518F9" w:rsidRPr="004518F9">
        <w:rPr>
          <w:rFonts w:ascii="Calibri" w:hAnsi="Calibri" w:cs="Calibri"/>
          <w:iCs/>
        </w:rPr>
        <w:t>﻿</w:t>
      </w:r>
      <w:r w:rsidR="004518F9" w:rsidRPr="004518F9">
        <w:rPr>
          <w:rFonts w:ascii="Times New Roman" w:hAnsi="Times New Roman" w:cs="Times New Roman"/>
          <w:i/>
        </w:rPr>
        <w:t>Agrostis stolonifera</w:t>
      </w:r>
      <w:r w:rsidR="004518F9">
        <w:rPr>
          <w:rFonts w:ascii="Times New Roman" w:hAnsi="Times New Roman" w:cs="Times New Roman"/>
          <w:iCs/>
        </w:rPr>
        <w:t xml:space="preserve">, </w:t>
      </w:r>
      <w:proofErr w:type="spellStart"/>
      <w:r w:rsidR="004518F9">
        <w:rPr>
          <w:rFonts w:ascii="Times New Roman" w:hAnsi="Times New Roman" w:cs="Times New Roman"/>
          <w:i/>
        </w:rPr>
        <w:t>Pascopyrum</w:t>
      </w:r>
      <w:proofErr w:type="spellEnd"/>
      <w:r w:rsidR="004518F9">
        <w:rPr>
          <w:rFonts w:ascii="Times New Roman" w:hAnsi="Times New Roman" w:cs="Times New Roman"/>
          <w:i/>
        </w:rPr>
        <w:t xml:space="preserve"> </w:t>
      </w:r>
      <w:proofErr w:type="spellStart"/>
      <w:r w:rsidR="004518F9">
        <w:rPr>
          <w:rFonts w:ascii="Times New Roman" w:hAnsi="Times New Roman" w:cs="Times New Roman"/>
          <w:i/>
        </w:rPr>
        <w:t>smithii</w:t>
      </w:r>
      <w:proofErr w:type="spellEnd"/>
      <w:r w:rsidR="004518F9">
        <w:rPr>
          <w:rFonts w:ascii="Times New Roman" w:hAnsi="Times New Roman" w:cs="Times New Roman"/>
          <w:iCs/>
        </w:rPr>
        <w:t xml:space="preserve">, </w:t>
      </w:r>
      <w:r w:rsidR="004518F9">
        <w:rPr>
          <w:rFonts w:ascii="Times New Roman" w:hAnsi="Times New Roman" w:cs="Times New Roman"/>
          <w:i/>
        </w:rPr>
        <w:t>Poa pratensis</w:t>
      </w:r>
      <w:r w:rsidR="004518F9">
        <w:rPr>
          <w:rFonts w:ascii="Times New Roman" w:hAnsi="Times New Roman" w:cs="Times New Roman"/>
          <w:iCs/>
        </w:rPr>
        <w:t xml:space="preserve">, </w:t>
      </w:r>
      <w:r w:rsidR="004518F9" w:rsidRPr="004518F9">
        <w:rPr>
          <w:rFonts w:ascii="Times New Roman" w:hAnsi="Times New Roman" w:cs="Times New Roman"/>
          <w:i/>
        </w:rPr>
        <w:t xml:space="preserve">Glycyrrhiza </w:t>
      </w:r>
      <w:proofErr w:type="spellStart"/>
      <w:r w:rsidR="004518F9" w:rsidRPr="004518F9">
        <w:rPr>
          <w:rFonts w:ascii="Times New Roman" w:hAnsi="Times New Roman" w:cs="Times New Roman"/>
          <w:i/>
        </w:rPr>
        <w:t>lepidota</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Iris </w:t>
      </w:r>
      <w:proofErr w:type="spellStart"/>
      <w:r w:rsidR="004518F9" w:rsidRPr="004518F9">
        <w:rPr>
          <w:rFonts w:ascii="Times New Roman" w:hAnsi="Times New Roman" w:cs="Times New Roman"/>
          <w:i/>
        </w:rPr>
        <w:t>missouriensis</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Cirsium </w:t>
      </w:r>
      <w:proofErr w:type="spellStart"/>
      <w:r w:rsidR="004518F9" w:rsidRPr="004518F9">
        <w:rPr>
          <w:rFonts w:ascii="Times New Roman" w:hAnsi="Times New Roman" w:cs="Times New Roman"/>
          <w:i/>
        </w:rPr>
        <w:t>flodmanii</w:t>
      </w:r>
      <w:proofErr w:type="spellEnd"/>
      <w:r w:rsidR="004518F9">
        <w:rPr>
          <w:rFonts w:ascii="Times New Roman" w:hAnsi="Times New Roman" w:cs="Times New Roman"/>
          <w:iCs/>
        </w:rPr>
        <w:t xml:space="preserve">, and </w:t>
      </w:r>
      <w:r w:rsidR="004518F9" w:rsidRPr="004518F9">
        <w:rPr>
          <w:rFonts w:ascii="Times New Roman" w:hAnsi="Times New Roman" w:cs="Times New Roman"/>
          <w:i/>
        </w:rPr>
        <w:t xml:space="preserve">Grindelia </w:t>
      </w:r>
      <w:proofErr w:type="spellStart"/>
      <w:r w:rsidR="004518F9" w:rsidRPr="004518F9">
        <w:rPr>
          <w:rFonts w:ascii="Times New Roman" w:hAnsi="Times New Roman" w:cs="Times New Roman"/>
          <w:i/>
        </w:rPr>
        <w:t>squarrosa</w:t>
      </w:r>
      <w:proofErr w:type="spellEnd"/>
      <w:r w:rsidR="004518F9">
        <w:rPr>
          <w:rFonts w:ascii="Times New Roman" w:hAnsi="Times New Roman" w:cs="Times New Roman"/>
          <w:i/>
        </w:rPr>
        <w:t xml:space="preserve"> </w:t>
      </w:r>
      <w:r w:rsidR="004518F9">
        <w:rPr>
          <w:rFonts w:ascii="Times New Roman" w:hAnsi="Times New Roman" w:cs="Times New Roman"/>
          <w:i/>
        </w:rPr>
        <w:fldChar w:fldCharType="begin" w:fldLock="1"/>
      </w:r>
      <w:r w:rsidR="00143F37">
        <w:rPr>
          <w:rFonts w:ascii="Times New Roman" w:hAnsi="Times New Roman" w:cs="Times New Roman"/>
          <w:i/>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Ecology","id":"ITEM-2","issue":"1","issued":{"date-parts":[["2002"]]},"page":"122-128","title":"Rosette recruitment of a rare endemic forb (Gaura neomexicana subsp. coloradensis) with canopy removal of associated species","type":"article-journal","volume":"10"},"uris":["http://www.mendeley.com/documents/?uuid=53ef2059-5906-4ea1-abd4-f561e2d90f75"]}],"mendeley":{"formattedCitation":"(Jennings 2000, Munk et al. 2002)","plainTextFormattedCitation":"(Jennings 2000, Munk et al. 2002)","previouslyFormattedCitation":"(Jennings 2000, Munk et al. 2002)"},"properties":{"noteIndex":0},"schema":"https://github.com/citation-style-language/schema/raw/master/csl-citation.json"}</w:instrText>
      </w:r>
      <w:r w:rsidR="004518F9">
        <w:rPr>
          <w:rFonts w:ascii="Times New Roman" w:hAnsi="Times New Roman" w:cs="Times New Roman"/>
          <w:i/>
        </w:rPr>
        <w:fldChar w:fldCharType="separate"/>
      </w:r>
      <w:r w:rsidR="0002340D" w:rsidRPr="0002340D">
        <w:rPr>
          <w:rFonts w:ascii="Times New Roman" w:hAnsi="Times New Roman" w:cs="Times New Roman"/>
          <w:noProof/>
        </w:rPr>
        <w:t>(Jennings 2000, Munk et al. 2002)</w:t>
      </w:r>
      <w:r w:rsidR="004518F9">
        <w:rPr>
          <w:rFonts w:ascii="Times New Roman" w:hAnsi="Times New Roman" w:cs="Times New Roman"/>
          <w:i/>
        </w:rPr>
        <w:fldChar w:fldCharType="end"/>
      </w:r>
      <w:r w:rsidR="004518F9">
        <w:rPr>
          <w:rFonts w:ascii="Times New Roman" w:hAnsi="Times New Roman" w:cs="Times New Roman"/>
          <w:iCs/>
        </w:rPr>
        <w:t xml:space="preserve">. </w:t>
      </w:r>
      <w:r w:rsidR="00DB2596" w:rsidRPr="004518F9">
        <w:rPr>
          <w:rFonts w:ascii="Times New Roman" w:hAnsi="Times New Roman" w:cs="Times New Roman"/>
          <w:iCs/>
        </w:rPr>
        <w:t>Encroachment</w:t>
      </w:r>
      <w:r w:rsidR="00DB2596">
        <w:rPr>
          <w:rFonts w:ascii="Times New Roman" w:hAnsi="Times New Roman" w:cs="Times New Roman"/>
          <w:iCs/>
        </w:rPr>
        <w:t xml:space="preserve"> of woody shrubs</w:t>
      </w:r>
      <w:r w:rsidR="004518F9">
        <w:rPr>
          <w:rFonts w:ascii="Times New Roman" w:hAnsi="Times New Roman" w:cs="Times New Roman"/>
          <w:iCs/>
        </w:rPr>
        <w:t xml:space="preserve"> such as </w:t>
      </w:r>
      <w:r w:rsidR="004518F9">
        <w:rPr>
          <w:rFonts w:ascii="Times New Roman" w:hAnsi="Times New Roman" w:cs="Times New Roman"/>
          <w:i/>
        </w:rPr>
        <w:t xml:space="preserve">Salix </w:t>
      </w:r>
      <w:proofErr w:type="spellStart"/>
      <w:r w:rsidR="004518F9">
        <w:rPr>
          <w:rFonts w:ascii="Times New Roman" w:hAnsi="Times New Roman" w:cs="Times New Roman"/>
          <w:i/>
        </w:rPr>
        <w:t>exigua</w:t>
      </w:r>
      <w:proofErr w:type="spellEnd"/>
      <w:r w:rsidR="00DB2596">
        <w:rPr>
          <w:rFonts w:ascii="Times New Roman" w:hAnsi="Times New Roman" w:cs="Times New Roman"/>
          <w:iCs/>
        </w:rPr>
        <w:t xml:space="preserve"> has been correlated with declining </w:t>
      </w:r>
      <w:r w:rsidR="00797162">
        <w:rPr>
          <w:rFonts w:ascii="Times New Roman" w:hAnsi="Times New Roman" w:cs="Times New Roman"/>
          <w:iCs/>
        </w:rPr>
        <w:t>numbers in some populations</w:t>
      </w:r>
      <w:r w:rsidR="00D3498F">
        <w:rPr>
          <w:rFonts w:ascii="Times New Roman" w:hAnsi="Times New Roman" w:cs="Times New Roman"/>
          <w:iCs/>
        </w:rPr>
        <w:t xml:space="preserve"> </w:t>
      </w:r>
      <w:r w:rsidR="00D3498F">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D3498F">
        <w:rPr>
          <w:rFonts w:ascii="Times New Roman" w:hAnsi="Times New Roman" w:cs="Times New Roman"/>
          <w:iCs/>
        </w:rPr>
        <w:fldChar w:fldCharType="separate"/>
      </w:r>
      <w:r w:rsidR="0002340D" w:rsidRPr="0002340D">
        <w:rPr>
          <w:rFonts w:ascii="Times New Roman" w:hAnsi="Times New Roman" w:cs="Times New Roman"/>
          <w:iCs/>
          <w:noProof/>
        </w:rPr>
        <w:t>(Heidel et al. 2021)</w:t>
      </w:r>
      <w:r w:rsidR="00D3498F">
        <w:rPr>
          <w:rFonts w:ascii="Times New Roman" w:hAnsi="Times New Roman" w:cs="Times New Roman"/>
          <w:iCs/>
        </w:rPr>
        <w:fldChar w:fldCharType="end"/>
      </w:r>
      <w:r w:rsidR="00D3498F">
        <w:rPr>
          <w:rFonts w:ascii="Times New Roman" w:hAnsi="Times New Roman" w:cs="Times New Roman"/>
          <w:iCs/>
        </w:rPr>
        <w:t xml:space="preserve">. </w:t>
      </w:r>
      <w:r w:rsidR="00F3278E" w:rsidRPr="00F3278E">
        <w:rPr>
          <w:rFonts w:ascii="Times New Roman" w:hAnsi="Times New Roman" w:cs="Times New Roman"/>
          <w:iCs/>
        </w:rPr>
        <w:t>Relatively frequent d</w:t>
      </w:r>
      <w:r w:rsidRPr="00F3278E">
        <w:rPr>
          <w:rFonts w:ascii="Times New Roman" w:hAnsi="Times New Roman" w:cs="Times New Roman"/>
          <w:iCs/>
        </w:rPr>
        <w:t>isturbance</w:t>
      </w:r>
      <w:r w:rsidR="00F3278E" w:rsidRPr="00F3278E">
        <w:rPr>
          <w:rFonts w:ascii="Times New Roman" w:hAnsi="Times New Roman" w:cs="Times New Roman"/>
          <w:iCs/>
        </w:rPr>
        <w:t xml:space="preserve"> </w:t>
      </w:r>
      <w:r w:rsidR="0087201E">
        <w:rPr>
          <w:rFonts w:ascii="Times New Roman" w:hAnsi="Times New Roman" w:cs="Times New Roman"/>
          <w:iCs/>
        </w:rPr>
        <w:t xml:space="preserve">such as flooding </w:t>
      </w:r>
      <w:r w:rsidR="00F3278E" w:rsidRPr="00F3278E">
        <w:rPr>
          <w:rFonts w:ascii="Times New Roman" w:hAnsi="Times New Roman" w:cs="Times New Roman"/>
          <w:iCs/>
        </w:rPr>
        <w:t>that reduces growth of both woody and herbaceous species</w:t>
      </w:r>
      <w:r w:rsidRPr="00F3278E">
        <w:rPr>
          <w:rFonts w:ascii="Times New Roman" w:hAnsi="Times New Roman" w:cs="Times New Roman"/>
          <w:iCs/>
        </w:rPr>
        <w:t xml:space="preserve"> </w:t>
      </w:r>
      <w:r w:rsidR="00F3278E" w:rsidRPr="00F3278E">
        <w:rPr>
          <w:rFonts w:ascii="Times New Roman" w:hAnsi="Times New Roman" w:cs="Times New Roman"/>
          <w:iCs/>
        </w:rPr>
        <w:t xml:space="preserve">and removes litter </w:t>
      </w:r>
      <w:r w:rsidR="00B8204B">
        <w:rPr>
          <w:rFonts w:ascii="Times New Roman" w:hAnsi="Times New Roman" w:cs="Times New Roman"/>
          <w:iCs/>
        </w:rPr>
        <w:t>is</w:t>
      </w:r>
      <w:r w:rsidRPr="00F3278E">
        <w:rPr>
          <w:rFonts w:ascii="Times New Roman" w:hAnsi="Times New Roman" w:cs="Times New Roman"/>
          <w:iCs/>
        </w:rPr>
        <w:t xml:space="preserve"> important for this species, especially for</w:t>
      </w:r>
      <w:r w:rsidR="00B8204B">
        <w:rPr>
          <w:rFonts w:ascii="Times New Roman" w:hAnsi="Times New Roman" w:cs="Times New Roman"/>
          <w:iCs/>
        </w:rPr>
        <w:t xml:space="preserve"> </w:t>
      </w:r>
      <w:r w:rsidRPr="00F3278E">
        <w:rPr>
          <w:rFonts w:ascii="Times New Roman" w:hAnsi="Times New Roman" w:cs="Times New Roman"/>
          <w:iCs/>
        </w:rPr>
        <w:t xml:space="preserve">successful </w:t>
      </w:r>
      <w:r w:rsidR="000C17BA">
        <w:rPr>
          <w:rFonts w:ascii="Times New Roman" w:hAnsi="Times New Roman" w:cs="Times New Roman"/>
          <w:iCs/>
        </w:rPr>
        <w:t>seedling recruitment</w:t>
      </w:r>
      <w:r w:rsidR="00C51AD3" w:rsidRPr="00F3278E">
        <w:rPr>
          <w:rFonts w:ascii="Times New Roman" w:hAnsi="Times New Roman" w:cs="Times New Roman"/>
          <w:iCs/>
        </w:rPr>
        <w:t xml:space="preserve"> </w:t>
      </w:r>
      <w:r w:rsidR="00C51AD3"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Nebraska","type":"article-journal","volume":"65"},"uris":["http://www.mendeley.com/documents/?uuid=821723a2-2c66-4c9e-a7dc-22fb21e906cf"]},{"id":"ITEM-2","itemData":{"author":[{"dropping-particle":"","family":"Burgess","given":"Leah M","non-dropping-particle":"","parse-names":false,"suffix":""}],"id":"ITEM-2","issued":{"date-parts":[["2003"]]},"publisher":"University of Wyoming","title":"Impacts of Mowing, Burning, and Climate on Germination and Seedling Recruitment of Colorado Butterfly Plant (Gaura neomexicana ssp. coloradensis)","type":"thesis"},"uris":["http://www.mendeley.com/documents/?uuid=41a34e8c-827f-441e-b4fd-1658118b3236"]}],"mendeley":{"formattedCitation":"(Jennings 2000, Burgess 2003)","plainTextFormattedCitation":"(Jennings 2000, Burgess 2003)","previouslyFormattedCitation":"(Jennings 2000, Burgess 2003)"},"properties":{"noteIndex":0},"schema":"https://github.com/citation-style-language/schema/raw/master/csl-citation.json"}</w:instrText>
      </w:r>
      <w:r w:rsidR="00C51AD3"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 Burgess 2003)</w:t>
      </w:r>
      <w:r w:rsidR="00C51AD3" w:rsidRPr="00F3278E">
        <w:rPr>
          <w:rFonts w:ascii="Times New Roman" w:hAnsi="Times New Roman" w:cs="Times New Roman"/>
          <w:iCs/>
        </w:rPr>
        <w:fldChar w:fldCharType="end"/>
      </w:r>
      <w:r w:rsidR="00C51AD3" w:rsidRPr="00F3278E">
        <w:rPr>
          <w:rFonts w:ascii="Times New Roman" w:hAnsi="Times New Roman" w:cs="Times New Roman"/>
          <w:iCs/>
        </w:rPr>
        <w:t>.</w:t>
      </w:r>
      <w:r w:rsidR="00DB2596">
        <w:rPr>
          <w:rFonts w:ascii="Times New Roman" w:hAnsi="Times New Roman" w:cs="Times New Roman"/>
          <w:iCs/>
        </w:rPr>
        <w:t xml:space="preserve"> </w:t>
      </w:r>
      <w:r w:rsidR="00F3278E" w:rsidRPr="00F3278E">
        <w:rPr>
          <w:rFonts w:ascii="Times New Roman" w:hAnsi="Times New Roman" w:cs="Times New Roman"/>
          <w:iCs/>
        </w:rPr>
        <w:t xml:space="preserve"> </w:t>
      </w:r>
    </w:p>
    <w:p w14:paraId="65D763EB" w14:textId="5D29F7EF" w:rsidR="00286A31" w:rsidRPr="009E07BC" w:rsidRDefault="005329E6" w:rsidP="005E51D7">
      <w:pPr>
        <w:spacing w:line="480" w:lineRule="auto"/>
        <w:ind w:firstLine="360"/>
        <w:rPr>
          <w:rFonts w:ascii="Times New Roman" w:hAnsi="Times New Roman" w:cs="Times New Roman"/>
        </w:rPr>
      </w:pPr>
      <w:r>
        <w:rPr>
          <w:rFonts w:ascii="Times New Roman" w:hAnsi="Times New Roman" w:cs="Times New Roman"/>
        </w:rPr>
        <w:t xml:space="preserve">All historical and extant known </w:t>
      </w:r>
      <w:r>
        <w:rPr>
          <w:rFonts w:ascii="Times New Roman" w:hAnsi="Times New Roman" w:cs="Times New Roman"/>
          <w:i/>
          <w:iCs/>
        </w:rPr>
        <w:t xml:space="preserve">O. coloradensis </w:t>
      </w:r>
      <w:r>
        <w:rPr>
          <w:rFonts w:ascii="Times New Roman" w:hAnsi="Times New Roman" w:cs="Times New Roman"/>
        </w:rPr>
        <w:t xml:space="preserve">populations </w:t>
      </w:r>
      <w:r w:rsidR="00993A94">
        <w:rPr>
          <w:rFonts w:ascii="Times New Roman" w:hAnsi="Times New Roman" w:cs="Times New Roman"/>
        </w:rPr>
        <w:t>lie</w:t>
      </w:r>
      <w:r>
        <w:rPr>
          <w:rFonts w:ascii="Times New Roman" w:hAnsi="Times New Roman" w:cs="Times New Roman"/>
        </w:rPr>
        <w:t xml:space="preserve"> </w:t>
      </w:r>
      <w:r w:rsidR="00993A94">
        <w:rPr>
          <w:rFonts w:ascii="Times New Roman" w:hAnsi="Times New Roman" w:cs="Times New Roman"/>
        </w:rPr>
        <w:t xml:space="preserve">within a </w:t>
      </w:r>
      <w:r w:rsidR="00993A94" w:rsidRPr="00993A94">
        <w:rPr>
          <w:rFonts w:ascii="Calibri" w:hAnsi="Calibri" w:cs="Calibri"/>
        </w:rPr>
        <w:t>﻿</w:t>
      </w:r>
      <w:r w:rsidR="00993A94" w:rsidRPr="00993A94">
        <w:rPr>
          <w:rFonts w:ascii="Times New Roman" w:hAnsi="Times New Roman" w:cs="Times New Roman"/>
        </w:rPr>
        <w:t>17,000 ac</w:t>
      </w:r>
      <w:r w:rsidR="00993A94">
        <w:rPr>
          <w:rFonts w:ascii="Times New Roman" w:hAnsi="Times New Roman" w:cs="Times New Roman"/>
        </w:rPr>
        <w:t xml:space="preserve">re area that includes </w:t>
      </w:r>
      <w:r>
        <w:rPr>
          <w:rFonts w:ascii="Times New Roman" w:hAnsi="Times New Roman" w:cs="Times New Roman"/>
        </w:rPr>
        <w:t>southeast Wyoming</w:t>
      </w:r>
      <w:r w:rsidR="00993A94">
        <w:rPr>
          <w:rFonts w:ascii="Times New Roman" w:hAnsi="Times New Roman" w:cs="Times New Roman"/>
        </w:rPr>
        <w:t>, northern Colorado, and a small part of</w:t>
      </w:r>
      <w:r>
        <w:rPr>
          <w:rFonts w:ascii="Times New Roman" w:hAnsi="Times New Roman" w:cs="Times New Roman"/>
        </w:rPr>
        <w:t xml:space="preserve"> southwest Nebraska</w:t>
      </w:r>
      <w:r w:rsidR="00993A94">
        <w:rPr>
          <w:rFonts w:ascii="Times New Roman" w:hAnsi="Times New Roman" w:cs="Times New Roman"/>
        </w:rPr>
        <w:t xml:space="preserve">. </w:t>
      </w:r>
      <w:r w:rsidR="00A90C80">
        <w:rPr>
          <w:rFonts w:ascii="Times New Roman" w:hAnsi="Times New Roman" w:cs="Times New Roman"/>
        </w:rPr>
        <w:t xml:space="preserve">Range-wide survey efforts between 1984 and 1986 identified more than 20 populations. The largest population on Federal land </w:t>
      </w:r>
      <w:r w:rsidR="009E07BC">
        <w:rPr>
          <w:rFonts w:ascii="Times New Roman" w:hAnsi="Times New Roman" w:cs="Times New Roman"/>
        </w:rPr>
        <w:t>occurs on the F. E. Warren Airforce Base near Cheyenne, WY. The Wyoming Natural Diversity Database (WYNDD)</w:t>
      </w:r>
      <w:r w:rsidR="00A90C80">
        <w:rPr>
          <w:rFonts w:ascii="Times New Roman" w:hAnsi="Times New Roman" w:cs="Times New Roman"/>
        </w:rPr>
        <w:t xml:space="preserve"> </w:t>
      </w:r>
      <w:r w:rsidR="009E07BC">
        <w:rPr>
          <w:rFonts w:ascii="Times New Roman" w:hAnsi="Times New Roman" w:cs="Times New Roman"/>
        </w:rPr>
        <w:t xml:space="preserve">began a base-wide census of reproductive individuals in this population in 1986, and has repeated this census annually since 1988 </w:t>
      </w:r>
      <w:r w:rsidR="009E07BC">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9E07BC">
        <w:rPr>
          <w:rFonts w:ascii="Times New Roman" w:hAnsi="Times New Roman" w:cs="Times New Roman"/>
        </w:rPr>
        <w:fldChar w:fldCharType="separate"/>
      </w:r>
      <w:r w:rsidR="0002340D" w:rsidRPr="0002340D">
        <w:rPr>
          <w:rFonts w:ascii="Times New Roman" w:hAnsi="Times New Roman" w:cs="Times New Roman"/>
          <w:noProof/>
        </w:rPr>
        <w:t>(Heidel et al. 2021)</w:t>
      </w:r>
      <w:r w:rsidR="009E07BC">
        <w:rPr>
          <w:rFonts w:ascii="Times New Roman" w:hAnsi="Times New Roman" w:cs="Times New Roman"/>
        </w:rPr>
        <w:fldChar w:fldCharType="end"/>
      </w:r>
      <w:r w:rsidR="009E07BC">
        <w:rPr>
          <w:rFonts w:ascii="Times New Roman" w:hAnsi="Times New Roman" w:cs="Times New Roman"/>
        </w:rPr>
        <w:t xml:space="preserve">. The Soapstone Prairie Natural Area, a public </w:t>
      </w:r>
      <w:r w:rsidR="005E51D7">
        <w:rPr>
          <w:rFonts w:ascii="Times New Roman" w:hAnsi="Times New Roman" w:cs="Times New Roman"/>
        </w:rPr>
        <w:t xml:space="preserve">property owned by the city of Fort Collins, CO, has the largest documented number of </w:t>
      </w:r>
      <w:r w:rsidR="005E51D7">
        <w:rPr>
          <w:rFonts w:ascii="Times New Roman" w:hAnsi="Times New Roman" w:cs="Times New Roman"/>
          <w:i/>
          <w:iCs/>
        </w:rPr>
        <w:t>O. coloradensis</w:t>
      </w:r>
      <w:r w:rsidR="005E51D7">
        <w:rPr>
          <w:rFonts w:ascii="Times New Roman" w:hAnsi="Times New Roman" w:cs="Times New Roman"/>
        </w:rPr>
        <w:t xml:space="preserve"> individuals, but this population has not been routinely monitored. The first estimate of species size after its full geographic range was identified occurred i</w:t>
      </w:r>
      <w:r w:rsidR="00993A94">
        <w:rPr>
          <w:rFonts w:ascii="Times New Roman" w:hAnsi="Times New Roman" w:cs="Times New Roman"/>
        </w:rPr>
        <w:t>n 1998</w:t>
      </w:r>
      <w:r w:rsidR="005E51D7">
        <w:rPr>
          <w:rFonts w:ascii="Times New Roman" w:hAnsi="Times New Roman" w:cs="Times New Roman"/>
        </w:rPr>
        <w:t>, when</w:t>
      </w:r>
      <w:r w:rsidR="00993A94">
        <w:rPr>
          <w:rFonts w:ascii="Times New Roman" w:hAnsi="Times New Roman" w:cs="Times New Roman"/>
        </w:rPr>
        <w:t xml:space="preserve"> </w:t>
      </w:r>
      <w:r w:rsidR="004D749E">
        <w:rPr>
          <w:rFonts w:ascii="Times New Roman" w:hAnsi="Times New Roman" w:cs="Times New Roman"/>
        </w:rPr>
        <w:t xml:space="preserve">it was </w:t>
      </w:r>
      <w:r w:rsidR="00FE6562">
        <w:rPr>
          <w:rFonts w:ascii="Times New Roman" w:hAnsi="Times New Roman" w:cs="Times New Roman"/>
        </w:rPr>
        <w:t xml:space="preserve">approximated </w:t>
      </w:r>
      <w:r w:rsidR="004D749E">
        <w:rPr>
          <w:rFonts w:ascii="Times New Roman" w:hAnsi="Times New Roman" w:cs="Times New Roman"/>
        </w:rPr>
        <w:t xml:space="preserve">that </w:t>
      </w:r>
      <w:r w:rsidR="00993A94">
        <w:rPr>
          <w:rFonts w:ascii="Times New Roman" w:hAnsi="Times New Roman" w:cs="Times New Roman"/>
        </w:rPr>
        <w:t xml:space="preserve">the entire species </w:t>
      </w:r>
      <w:r w:rsidR="004D749E">
        <w:rPr>
          <w:rFonts w:ascii="Times New Roman" w:hAnsi="Times New Roman" w:cs="Times New Roman"/>
        </w:rPr>
        <w:t xml:space="preserve">consisted </w:t>
      </w:r>
      <w:r w:rsidR="00FE6562">
        <w:rPr>
          <w:rFonts w:ascii="Times New Roman" w:hAnsi="Times New Roman" w:cs="Times New Roman"/>
        </w:rPr>
        <w:t>of</w:t>
      </w:r>
      <w:r w:rsidR="00993A94">
        <w:rPr>
          <w:rFonts w:ascii="Times New Roman" w:hAnsi="Times New Roman" w:cs="Times New Roman"/>
        </w:rPr>
        <w:t xml:space="preserve"> 47,300 to 50,</w:t>
      </w:r>
      <w:r w:rsidR="004D749E">
        <w:rPr>
          <w:rFonts w:ascii="Times New Roman" w:hAnsi="Times New Roman" w:cs="Times New Roman"/>
        </w:rPr>
        <w:t>3</w:t>
      </w:r>
      <w:r w:rsidR="00993A94">
        <w:rPr>
          <w:rFonts w:ascii="Times New Roman" w:hAnsi="Times New Roman" w:cs="Times New Roman"/>
        </w:rPr>
        <w:t xml:space="preserve">00 reproductive individuals </w:t>
      </w:r>
      <w:r w:rsidR="004D749E"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4D749E"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004D749E" w:rsidRPr="00F3278E">
        <w:rPr>
          <w:rFonts w:ascii="Times New Roman" w:hAnsi="Times New Roman" w:cs="Times New Roman"/>
          <w:iCs/>
        </w:rPr>
        <w:fldChar w:fldCharType="end"/>
      </w:r>
      <w:r w:rsidR="004D749E">
        <w:rPr>
          <w:rFonts w:ascii="Times New Roman" w:hAnsi="Times New Roman" w:cs="Times New Roman"/>
        </w:rPr>
        <w:t xml:space="preserve">. Although an older estimate of </w:t>
      </w:r>
      <w:r w:rsidR="007D621A">
        <w:rPr>
          <w:rFonts w:ascii="Times New Roman" w:hAnsi="Times New Roman" w:cs="Times New Roman"/>
        </w:rPr>
        <w:t xml:space="preserve">total </w:t>
      </w:r>
      <w:r w:rsidR="004D749E">
        <w:rPr>
          <w:rFonts w:ascii="Times New Roman" w:hAnsi="Times New Roman" w:cs="Times New Roman"/>
        </w:rPr>
        <w:t xml:space="preserve">species numbers or </w:t>
      </w:r>
      <w:r w:rsidR="007D621A">
        <w:rPr>
          <w:rFonts w:ascii="Times New Roman" w:hAnsi="Times New Roman" w:cs="Times New Roman"/>
        </w:rPr>
        <w:t xml:space="preserve">geographic </w:t>
      </w:r>
      <w:r w:rsidR="004D749E">
        <w:rPr>
          <w:rFonts w:ascii="Times New Roman" w:hAnsi="Times New Roman" w:cs="Times New Roman"/>
        </w:rPr>
        <w:t>range does not exist</w:t>
      </w:r>
      <w:r w:rsidR="007D621A">
        <w:rPr>
          <w:rFonts w:ascii="Times New Roman" w:hAnsi="Times New Roman" w:cs="Times New Roman"/>
        </w:rPr>
        <w:t xml:space="preserve"> to serve as a reference</w:t>
      </w:r>
      <w:r w:rsidR="004D749E">
        <w:rPr>
          <w:rFonts w:ascii="Times New Roman" w:hAnsi="Times New Roman" w:cs="Times New Roman"/>
        </w:rPr>
        <w:t xml:space="preserve">, decline in a majority of </w:t>
      </w:r>
      <w:r w:rsidR="007D621A">
        <w:rPr>
          <w:rFonts w:ascii="Times New Roman" w:hAnsi="Times New Roman" w:cs="Times New Roman"/>
        </w:rPr>
        <w:t xml:space="preserve">the </w:t>
      </w:r>
      <w:r w:rsidR="004D749E">
        <w:rPr>
          <w:rFonts w:ascii="Times New Roman" w:hAnsi="Times New Roman" w:cs="Times New Roman"/>
        </w:rPr>
        <w:t xml:space="preserve">known populations between </w:t>
      </w:r>
      <w:r w:rsidR="007D621A">
        <w:rPr>
          <w:rFonts w:ascii="Times New Roman" w:hAnsi="Times New Roman" w:cs="Times New Roman"/>
        </w:rPr>
        <w:t>the mid-1980s</w:t>
      </w:r>
      <w:r w:rsidR="004D749E">
        <w:rPr>
          <w:rFonts w:ascii="Times New Roman" w:hAnsi="Times New Roman" w:cs="Times New Roman"/>
        </w:rPr>
        <w:t xml:space="preserve"> and 2000</w:t>
      </w:r>
      <w:r w:rsidR="007D621A">
        <w:rPr>
          <w:rFonts w:ascii="Times New Roman" w:hAnsi="Times New Roman" w:cs="Times New Roman"/>
        </w:rPr>
        <w:t xml:space="preserve"> lead the U.S. Fish and Wildlife Service (USFWS) to designate </w:t>
      </w:r>
      <w:r w:rsidR="007D621A">
        <w:rPr>
          <w:rFonts w:ascii="Times New Roman" w:hAnsi="Times New Roman" w:cs="Times New Roman"/>
          <w:i/>
          <w:iCs/>
        </w:rPr>
        <w:t>O. coloradensis</w:t>
      </w:r>
      <w:r w:rsidR="007D621A">
        <w:rPr>
          <w:rFonts w:ascii="Times New Roman" w:hAnsi="Times New Roman" w:cs="Times New Roman"/>
        </w:rPr>
        <w:t xml:space="preserve"> as a “threatened” species protected under the Endangered Species Act </w:t>
      </w:r>
      <w:r w:rsidR="007D621A"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7D621A"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007D621A" w:rsidRPr="00F3278E">
        <w:rPr>
          <w:rFonts w:ascii="Times New Roman" w:hAnsi="Times New Roman" w:cs="Times New Roman"/>
          <w:iCs/>
        </w:rPr>
        <w:fldChar w:fldCharType="end"/>
      </w:r>
      <w:r w:rsidR="007D621A">
        <w:rPr>
          <w:rFonts w:ascii="Times New Roman" w:hAnsi="Times New Roman" w:cs="Times New Roman"/>
          <w:iCs/>
        </w:rPr>
        <w:t xml:space="preserve">. </w:t>
      </w:r>
      <w:r w:rsidR="004C28F1">
        <w:rPr>
          <w:rFonts w:ascii="Times New Roman" w:hAnsi="Times New Roman" w:cs="Times New Roman"/>
          <w:iCs/>
        </w:rPr>
        <w:t xml:space="preserve">Although this species appears to be naturally rare, mangers were concerned that, without protection, </w:t>
      </w:r>
      <w:r w:rsidR="004C28F1">
        <w:rPr>
          <w:rFonts w:ascii="Times New Roman" w:hAnsi="Times New Roman" w:cs="Times New Roman"/>
          <w:i/>
        </w:rPr>
        <w:t>O. coloradensis</w:t>
      </w:r>
      <w:r w:rsidR="004C28F1">
        <w:rPr>
          <w:rFonts w:ascii="Times New Roman" w:hAnsi="Times New Roman" w:cs="Times New Roman"/>
          <w:iCs/>
        </w:rPr>
        <w:t xml:space="preserve"> had the potential for extinction because of habitat loss due to ranching, natural resource extraction, and shrub encroachment resulting from altered disturbance regimes.  </w:t>
      </w:r>
    </w:p>
    <w:p w14:paraId="114A3F5C" w14:textId="40B00C2C" w:rsidR="00196895"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Demographic Data Collection</w:t>
      </w:r>
    </w:p>
    <w:p w14:paraId="371ECABA" w14:textId="79BD0F1B" w:rsidR="00300BD7" w:rsidRDefault="004B1FAD" w:rsidP="00300BD7">
      <w:pPr>
        <w:spacing w:line="480" w:lineRule="auto"/>
        <w:rPr>
          <w:rFonts w:ascii="Times New Roman" w:hAnsi="Times New Roman" w:cs="Times New Roman"/>
        </w:rPr>
      </w:pPr>
      <w:r>
        <w:rPr>
          <w:rFonts w:ascii="Times New Roman" w:hAnsi="Times New Roman" w:cs="Times New Roman"/>
          <w:i/>
          <w:iCs/>
        </w:rPr>
        <w:tab/>
      </w:r>
      <w:r w:rsidR="00D57671">
        <w:rPr>
          <w:rFonts w:ascii="Times New Roman" w:hAnsi="Times New Roman" w:cs="Times New Roman"/>
        </w:rPr>
        <w:t xml:space="preserve">We conducted a three-year demographic study of </w:t>
      </w:r>
      <w:r w:rsidR="00D57671">
        <w:rPr>
          <w:rFonts w:ascii="Times New Roman" w:hAnsi="Times New Roman" w:cs="Times New Roman"/>
          <w:i/>
          <w:iCs/>
        </w:rPr>
        <w:t>O. coloradensis</w:t>
      </w:r>
      <w:r w:rsidR="00D57671">
        <w:rPr>
          <w:rFonts w:ascii="Times New Roman" w:hAnsi="Times New Roman" w:cs="Times New Roman"/>
        </w:rPr>
        <w:t xml:space="preserve"> across six subpopulation, three at the F.E. Warren Airforce Base (FEWAFB) and three at the Soapstone Prairie Natural Area. </w:t>
      </w:r>
      <w:r w:rsidR="00E068AA">
        <w:rPr>
          <w:rFonts w:ascii="Times New Roman" w:hAnsi="Times New Roman" w:cs="Times New Roman"/>
        </w:rPr>
        <w:t>In early summer 201</w:t>
      </w:r>
      <w:r w:rsidR="002814D4">
        <w:rPr>
          <w:rFonts w:ascii="Times New Roman" w:hAnsi="Times New Roman" w:cs="Times New Roman"/>
        </w:rPr>
        <w:t>8</w:t>
      </w:r>
      <w:r w:rsidR="00E068AA">
        <w:rPr>
          <w:rFonts w:ascii="Times New Roman" w:hAnsi="Times New Roman" w:cs="Times New Roman"/>
        </w:rPr>
        <w:t xml:space="preserve"> we</w:t>
      </w:r>
      <w:r w:rsidR="00D57671">
        <w:rPr>
          <w:rFonts w:ascii="Times New Roman" w:hAnsi="Times New Roman" w:cs="Times New Roman"/>
        </w:rPr>
        <w:t xml:space="preserve"> established three 2x2 m quadrats in each of these subpopulations</w:t>
      </w:r>
      <w:r w:rsidR="00E068AA">
        <w:rPr>
          <w:rFonts w:ascii="Times New Roman" w:hAnsi="Times New Roman" w:cs="Times New Roman"/>
        </w:rPr>
        <w:t>, resulting in 18 plots</w:t>
      </w:r>
      <w:r w:rsidR="00AA70C5">
        <w:rPr>
          <w:rFonts w:ascii="Times New Roman" w:hAnsi="Times New Roman" w:cs="Times New Roman"/>
        </w:rPr>
        <w:t xml:space="preserve"> (Table 1)</w:t>
      </w:r>
      <w:r w:rsidR="00E068AA">
        <w:rPr>
          <w:rFonts w:ascii="Times New Roman" w:hAnsi="Times New Roman" w:cs="Times New Roman"/>
        </w:rPr>
        <w:t>.</w:t>
      </w:r>
      <w:r w:rsidR="002814D4">
        <w:rPr>
          <w:rFonts w:ascii="Times New Roman" w:hAnsi="Times New Roman" w:cs="Times New Roman"/>
        </w:rPr>
        <w:t xml:space="preserve"> </w:t>
      </w:r>
      <w:r w:rsidR="0026424D">
        <w:rPr>
          <w:rFonts w:ascii="Times New Roman" w:hAnsi="Times New Roman" w:cs="Times New Roman"/>
        </w:rPr>
        <w:t>W</w:t>
      </w:r>
      <w:r w:rsidR="00F8758D">
        <w:rPr>
          <w:rFonts w:ascii="Times New Roman" w:hAnsi="Times New Roman" w:cs="Times New Roman"/>
        </w:rPr>
        <w:t xml:space="preserve">e tagged and mapped </w:t>
      </w:r>
      <w:r w:rsidR="002814D4">
        <w:rPr>
          <w:rFonts w:ascii="Times New Roman" w:hAnsi="Times New Roman" w:cs="Times New Roman"/>
        </w:rPr>
        <w:t>every unique individual</w:t>
      </w:r>
      <w:r w:rsidR="00F8758D">
        <w:rPr>
          <w:rFonts w:ascii="Times New Roman" w:hAnsi="Times New Roman" w:cs="Times New Roman"/>
        </w:rPr>
        <w:t xml:space="preserve"> in each of these plots</w:t>
      </w:r>
      <w:r w:rsidR="007A797D">
        <w:rPr>
          <w:rFonts w:ascii="Times New Roman" w:hAnsi="Times New Roman" w:cs="Times New Roman"/>
        </w:rPr>
        <w:t xml:space="preserve"> that </w:t>
      </w:r>
      <w:r w:rsidR="00F8758D">
        <w:rPr>
          <w:rFonts w:ascii="Times New Roman" w:hAnsi="Times New Roman" w:cs="Times New Roman"/>
        </w:rPr>
        <w:t>h</w:t>
      </w:r>
      <w:r w:rsidR="007A797D">
        <w:rPr>
          <w:rFonts w:ascii="Times New Roman" w:hAnsi="Times New Roman" w:cs="Times New Roman"/>
        </w:rPr>
        <w:t>ad</w:t>
      </w:r>
      <w:r w:rsidR="00F8758D">
        <w:rPr>
          <w:rFonts w:ascii="Times New Roman" w:hAnsi="Times New Roman" w:cs="Times New Roman"/>
        </w:rPr>
        <w:t xml:space="preserve"> a maximum leaf length greater than 3</w:t>
      </w:r>
      <w:r w:rsidR="0026424D">
        <w:rPr>
          <w:rFonts w:ascii="Times New Roman" w:hAnsi="Times New Roman" w:cs="Times New Roman"/>
        </w:rPr>
        <w:t xml:space="preserve"> cm,  and</w:t>
      </w:r>
      <w:r w:rsidR="007A797D">
        <w:rPr>
          <w:rFonts w:ascii="Times New Roman" w:hAnsi="Times New Roman" w:cs="Times New Roman"/>
        </w:rPr>
        <w:t xml:space="preserve"> recorded </w:t>
      </w:r>
      <w:r w:rsidR="0026424D">
        <w:rPr>
          <w:rFonts w:ascii="Times New Roman" w:hAnsi="Times New Roman" w:cs="Times New Roman"/>
        </w:rPr>
        <w:t xml:space="preserve">their </w:t>
      </w:r>
      <w:r w:rsidR="007A797D">
        <w:rPr>
          <w:rFonts w:ascii="Times New Roman" w:hAnsi="Times New Roman" w:cs="Times New Roman"/>
        </w:rPr>
        <w:t>longest leaf length, reproductive status, reproductive output, and presence and character of herbivory damage</w:t>
      </w:r>
      <w:r w:rsidR="0026424D">
        <w:rPr>
          <w:rFonts w:ascii="Times New Roman" w:hAnsi="Times New Roman" w:cs="Times New Roman"/>
        </w:rPr>
        <w:t>. In 2019 and 2020 cens</w:t>
      </w:r>
      <w:r w:rsidR="006372AE">
        <w:rPr>
          <w:rFonts w:ascii="Times New Roman" w:hAnsi="Times New Roman" w:cs="Times New Roman"/>
        </w:rPr>
        <w:t>uses</w:t>
      </w:r>
      <w:r w:rsidR="0026424D">
        <w:rPr>
          <w:rFonts w:ascii="Times New Roman" w:hAnsi="Times New Roman" w:cs="Times New Roman"/>
        </w:rPr>
        <w:t xml:space="preserve">, we mapped and tagged new plants larger than 3 cm and re-measured all surviving plants from previous years. There were too many </w:t>
      </w:r>
      <w:r w:rsidR="0026424D">
        <w:rPr>
          <w:rFonts w:ascii="Times New Roman" w:hAnsi="Times New Roman" w:cs="Times New Roman"/>
          <w:i/>
          <w:iCs/>
        </w:rPr>
        <w:t xml:space="preserve">O. coloradensis </w:t>
      </w:r>
      <w:r w:rsidR="0026424D">
        <w:rPr>
          <w:rFonts w:ascii="Times New Roman" w:hAnsi="Times New Roman" w:cs="Times New Roman"/>
        </w:rPr>
        <w:t>plants smaller than 3 cm in longest leaf length to map and tag each year, so instead we recorded a tally of these in each plot in each year.</w:t>
      </w:r>
      <w:r w:rsidR="00300BD7">
        <w:rPr>
          <w:rFonts w:ascii="Times New Roman" w:hAnsi="Times New Roman" w:cs="Times New Roman"/>
        </w:rPr>
        <w:t xml:space="preserve"> We will refer to these plants smaller than 3 cm as “seedlings,” and plants larger that 3 cm as “mature plants.”</w:t>
      </w:r>
      <w:r w:rsidR="00832F11">
        <w:rPr>
          <w:rFonts w:ascii="Times New Roman" w:hAnsi="Times New Roman" w:cs="Times New Roman"/>
        </w:rPr>
        <w:t xml:space="preserve"> All censuses took place between late May and early July, during the peak of the </w:t>
      </w:r>
      <w:r w:rsidR="00832F11">
        <w:rPr>
          <w:rFonts w:ascii="Times New Roman" w:hAnsi="Times New Roman" w:cs="Times New Roman"/>
          <w:i/>
          <w:iCs/>
        </w:rPr>
        <w:t>O</w:t>
      </w:r>
      <w:r w:rsidR="00832F11" w:rsidRPr="00832F11">
        <w:rPr>
          <w:rFonts w:ascii="Times New Roman" w:hAnsi="Times New Roman" w:cs="Times New Roman"/>
          <w:i/>
          <w:iCs/>
        </w:rPr>
        <w:t>. coloradensis</w:t>
      </w:r>
      <w:r w:rsidR="00832F11">
        <w:rPr>
          <w:rFonts w:ascii="Times New Roman" w:hAnsi="Times New Roman" w:cs="Times New Roman"/>
        </w:rPr>
        <w:t xml:space="preserve"> </w:t>
      </w:r>
      <w:r w:rsidR="00832F11" w:rsidRPr="00832F11">
        <w:rPr>
          <w:rFonts w:ascii="Times New Roman" w:hAnsi="Times New Roman" w:cs="Times New Roman"/>
        </w:rPr>
        <w:t>growing</w:t>
      </w:r>
      <w:r w:rsidR="00832F11">
        <w:rPr>
          <w:rFonts w:ascii="Times New Roman" w:hAnsi="Times New Roman" w:cs="Times New Roman"/>
        </w:rPr>
        <w:t xml:space="preserve"> season. </w:t>
      </w:r>
      <w:r w:rsidR="00300BD7">
        <w:rPr>
          <w:rFonts w:ascii="Times New Roman" w:hAnsi="Times New Roman" w:cs="Times New Roman"/>
        </w:rPr>
        <w:t xml:space="preserve"> </w:t>
      </w:r>
    </w:p>
    <w:p w14:paraId="3D215A52" w14:textId="2A5D9F5F" w:rsidR="005E5652" w:rsidRDefault="00300BD7" w:rsidP="005E5652">
      <w:pPr>
        <w:spacing w:line="480" w:lineRule="auto"/>
        <w:ind w:firstLine="720"/>
        <w:rPr>
          <w:rFonts w:ascii="Times New Roman" w:hAnsi="Times New Roman" w:cs="Times New Roman"/>
        </w:rPr>
      </w:pPr>
      <w:r>
        <w:rPr>
          <w:rFonts w:ascii="Times New Roman" w:hAnsi="Times New Roman" w:cs="Times New Roman"/>
        </w:rPr>
        <w:t xml:space="preserve">It was not possible to measure exact reproductive output for flowering mature individuals, since </w:t>
      </w:r>
      <w:r>
        <w:rPr>
          <w:rFonts w:ascii="Times New Roman" w:hAnsi="Times New Roman" w:cs="Times New Roman"/>
          <w:i/>
          <w:iCs/>
        </w:rPr>
        <w:t>O. coloradensis</w:t>
      </w:r>
      <w:r>
        <w:rPr>
          <w:rFonts w:ascii="Times New Roman" w:hAnsi="Times New Roman" w:cs="Times New Roman"/>
        </w:rPr>
        <w:t xml:space="preserve"> seeds are contained in indehiscent capsules. Additionally, buds on the same plant flower and set seed with a</w:t>
      </w:r>
      <w:r w:rsidR="0064534C">
        <w:rPr>
          <w:rFonts w:ascii="Times New Roman" w:hAnsi="Times New Roman" w:cs="Times New Roman"/>
        </w:rPr>
        <w:t xml:space="preserve"> time</w:t>
      </w:r>
      <w:r>
        <w:rPr>
          <w:rFonts w:ascii="Times New Roman" w:hAnsi="Times New Roman" w:cs="Times New Roman"/>
        </w:rPr>
        <w:t xml:space="preserve"> lag</w:t>
      </w:r>
      <w:r w:rsidR="0064534C">
        <w:rPr>
          <w:rFonts w:ascii="Times New Roman" w:hAnsi="Times New Roman" w:cs="Times New Roman"/>
        </w:rPr>
        <w:t xml:space="preserve">, such that mature seed capsules often exist at the tip of a stem while </w:t>
      </w:r>
      <w:r w:rsidR="00BD4C5D">
        <w:rPr>
          <w:rFonts w:ascii="Times New Roman" w:hAnsi="Times New Roman" w:cs="Times New Roman"/>
        </w:rPr>
        <w:t xml:space="preserve">un-opened buds lower down on that same stem have not yet flowered. This makes it difficult to count the total number of capsules produced by a plant. However, seed capsules leave a noticeable scar on the stem, so we used the number of seed capsule scars on reproductive </w:t>
      </w:r>
      <w:r w:rsidR="00FC0971">
        <w:rPr>
          <w:rFonts w:ascii="Times New Roman" w:hAnsi="Times New Roman" w:cs="Times New Roman"/>
        </w:rPr>
        <w:t xml:space="preserve">stems as an estimate of capsule production. Counting scars is extremely time-intensive since a single plant can produce several hundred capsules, so we used linear regression to estimate the relationship between the length of stem bearing capsule scars and the number of capsules produced by that stem. </w:t>
      </w:r>
      <w:r w:rsidR="00CA031C">
        <w:rPr>
          <w:rFonts w:ascii="Times New Roman" w:hAnsi="Times New Roman" w:cs="Times New Roman"/>
        </w:rPr>
        <w:t>Linear regression using stem</w:t>
      </w:r>
      <w:r w:rsidR="00FC0971">
        <w:rPr>
          <w:rFonts w:ascii="Times New Roman" w:hAnsi="Times New Roman" w:cs="Times New Roman"/>
        </w:rPr>
        <w:t xml:space="preserve"> measurements and capsule counts from </w:t>
      </w:r>
      <w:r w:rsidR="00CA031C">
        <w:rPr>
          <w:rFonts w:ascii="Times New Roman" w:hAnsi="Times New Roman" w:cs="Times New Roman"/>
        </w:rPr>
        <w:t xml:space="preserve">106 individuals indicates that number of capsules produced =  </w:t>
      </w:r>
      <w:r w:rsidR="00CA031C" w:rsidRPr="00CA031C">
        <w:rPr>
          <w:rFonts w:ascii="Times New Roman" w:hAnsi="Times New Roman" w:cs="Times New Roman"/>
        </w:rPr>
        <w:t>2.9</w:t>
      </w:r>
      <w:r w:rsidR="00CA031C">
        <w:rPr>
          <w:rFonts w:ascii="Times New Roman" w:hAnsi="Times New Roman" w:cs="Times New Roman"/>
        </w:rPr>
        <w:t>5</w:t>
      </w:r>
      <w:r w:rsidR="00CA031C" w:rsidRPr="00CA031C">
        <w:rPr>
          <w:rFonts w:ascii="Times New Roman" w:hAnsi="Times New Roman" w:cs="Times New Roman"/>
        </w:rPr>
        <w:t xml:space="preserve"> +</w:t>
      </w:r>
      <w:r w:rsidR="00CA031C">
        <w:rPr>
          <w:rFonts w:ascii="Times New Roman" w:hAnsi="Times New Roman" w:cs="Times New Roman"/>
        </w:rPr>
        <w:t xml:space="preserve"> 2.0*(</w:t>
      </w:r>
      <w:r w:rsidR="00CA031C" w:rsidRPr="00CA031C">
        <w:rPr>
          <w:rFonts w:ascii="Times New Roman" w:hAnsi="Times New Roman" w:cs="Times New Roman"/>
        </w:rPr>
        <w:t>stem length</w:t>
      </w:r>
      <w:r w:rsidR="00CA031C">
        <w:rPr>
          <w:rFonts w:ascii="Times New Roman" w:hAnsi="Times New Roman" w:cs="Times New Roman"/>
        </w:rPr>
        <w:t xml:space="preserve"> in cm)</w:t>
      </w:r>
      <w:r w:rsidR="00763205">
        <w:rPr>
          <w:rFonts w:ascii="Times New Roman" w:hAnsi="Times New Roman" w:cs="Times New Roman"/>
        </w:rPr>
        <w:t xml:space="preserve"> (</w:t>
      </w:r>
      <w:r w:rsidR="00D07A7C">
        <w:rPr>
          <w:rFonts w:ascii="Times New Roman" w:hAnsi="Times New Roman" w:cs="Times New Roman"/>
        </w:rPr>
        <w:t>m</w:t>
      </w:r>
      <w:r w:rsidR="00763205" w:rsidRPr="00763205">
        <w:rPr>
          <w:rFonts w:ascii="Times New Roman" w:hAnsi="Times New Roman" w:cs="Times New Roman"/>
        </w:rPr>
        <w:t>ultiple R-squared</w:t>
      </w:r>
      <w:r w:rsidR="00763205">
        <w:rPr>
          <w:rFonts w:ascii="Times New Roman" w:hAnsi="Times New Roman" w:cs="Times New Roman"/>
        </w:rPr>
        <w:t xml:space="preserve"> = </w:t>
      </w:r>
      <w:r w:rsidR="00763205" w:rsidRPr="00763205">
        <w:rPr>
          <w:rFonts w:ascii="Times New Roman" w:hAnsi="Times New Roman" w:cs="Times New Roman"/>
        </w:rPr>
        <w:t>0.67,</w:t>
      </w:r>
      <w:r w:rsidR="00763205">
        <w:rPr>
          <w:rFonts w:ascii="Times New Roman" w:hAnsi="Times New Roman" w:cs="Times New Roman"/>
        </w:rPr>
        <w:t xml:space="preserve"> </w:t>
      </w:r>
      <w:r w:rsidR="00763205" w:rsidRPr="00763205">
        <w:rPr>
          <w:rFonts w:ascii="Times New Roman" w:hAnsi="Times New Roman" w:cs="Times New Roman"/>
        </w:rPr>
        <w:t>P</w:t>
      </w:r>
      <w:r w:rsidR="00763205">
        <w:rPr>
          <w:rFonts w:ascii="Times New Roman" w:hAnsi="Times New Roman" w:cs="Times New Roman"/>
        </w:rPr>
        <w:t xml:space="preserve"> = &lt; 0.01, </w:t>
      </w:r>
      <w:r w:rsidR="00763205" w:rsidRPr="00763205">
        <w:rPr>
          <w:rFonts w:ascii="Times New Roman" w:hAnsi="Times New Roman" w:cs="Times New Roman"/>
        </w:rPr>
        <w:t>F</w:t>
      </w:r>
      <w:r w:rsidR="00705BC2">
        <w:rPr>
          <w:rFonts w:ascii="Times New Roman" w:hAnsi="Times New Roman" w:cs="Times New Roman"/>
        </w:rPr>
        <w:t>-statistic</w:t>
      </w:r>
      <w:r w:rsidR="00763205">
        <w:rPr>
          <w:rFonts w:ascii="Times New Roman" w:hAnsi="Times New Roman" w:cs="Times New Roman"/>
        </w:rPr>
        <w:t xml:space="preserve"> = </w:t>
      </w:r>
      <w:r w:rsidR="00763205" w:rsidRPr="00763205">
        <w:rPr>
          <w:rFonts w:ascii="Times New Roman" w:hAnsi="Times New Roman" w:cs="Times New Roman"/>
        </w:rPr>
        <w:t>212.5</w:t>
      </w:r>
      <w:r w:rsidR="00763205">
        <w:rPr>
          <w:rFonts w:ascii="Times New Roman" w:hAnsi="Times New Roman" w:cs="Times New Roman"/>
        </w:rPr>
        <w:t xml:space="preserve">, df = </w:t>
      </w:r>
      <w:r w:rsidR="00763205" w:rsidRPr="00763205">
        <w:rPr>
          <w:rFonts w:ascii="Times New Roman" w:hAnsi="Times New Roman" w:cs="Times New Roman"/>
        </w:rPr>
        <w:t>104</w:t>
      </w:r>
      <w:r w:rsidR="00763205">
        <w:rPr>
          <w:rFonts w:ascii="Times New Roman" w:hAnsi="Times New Roman" w:cs="Times New Roman"/>
        </w:rPr>
        <w:t xml:space="preserve">). </w:t>
      </w:r>
      <w:r w:rsidR="00FC0971">
        <w:rPr>
          <w:rFonts w:ascii="Times New Roman" w:hAnsi="Times New Roman" w:cs="Times New Roman"/>
        </w:rPr>
        <w:t xml:space="preserve">We used this relationship to estimate capsule production for each reproductive individual. </w:t>
      </w:r>
      <w:r w:rsidR="004144A1">
        <w:rPr>
          <w:rFonts w:ascii="Times New Roman" w:hAnsi="Times New Roman" w:cs="Times New Roman"/>
        </w:rPr>
        <w:t xml:space="preserve">Previous work indicated that each capsule contained an average of 1.7 seeds, so we multiplied the estimated number of capsules produced by an adult plant by 1.7 to estimate seed production </w:t>
      </w:r>
      <w:r w:rsidR="004144A1">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4144A1">
        <w:rPr>
          <w:rFonts w:ascii="Times New Roman" w:hAnsi="Times New Roman" w:cs="Times New Roman"/>
        </w:rPr>
        <w:fldChar w:fldCharType="separate"/>
      </w:r>
      <w:r w:rsidR="0002340D" w:rsidRPr="0002340D">
        <w:rPr>
          <w:rFonts w:ascii="Times New Roman" w:hAnsi="Times New Roman" w:cs="Times New Roman"/>
          <w:noProof/>
        </w:rPr>
        <w:t>(Burgess et al. 2005)</w:t>
      </w:r>
      <w:r w:rsidR="004144A1">
        <w:rPr>
          <w:rFonts w:ascii="Times New Roman" w:hAnsi="Times New Roman" w:cs="Times New Roman"/>
        </w:rPr>
        <w:fldChar w:fldCharType="end"/>
      </w:r>
      <w:r w:rsidR="004144A1">
        <w:rPr>
          <w:rFonts w:ascii="Times New Roman" w:hAnsi="Times New Roman" w:cs="Times New Roman"/>
        </w:rPr>
        <w:t>.</w:t>
      </w:r>
    </w:p>
    <w:p w14:paraId="7891C55C" w14:textId="472F1560" w:rsidR="00AA70C5" w:rsidRPr="0040121B" w:rsidRDefault="00AA70C5" w:rsidP="00AA70C5">
      <w:pPr>
        <w:rPr>
          <w:rFonts w:ascii="Times New Roman" w:hAnsi="Times New Roman" w:cs="Times New Roman"/>
        </w:rPr>
      </w:pPr>
      <w:r w:rsidRPr="00AA70C5">
        <w:rPr>
          <w:rFonts w:ascii="Times New Roman" w:hAnsi="Times New Roman" w:cs="Times New Roman"/>
          <w:b/>
        </w:rPr>
        <w:t>Table 1</w:t>
      </w:r>
      <w:r>
        <w:rPr>
          <w:rFonts w:ascii="Times New Roman" w:hAnsi="Times New Roman" w:cs="Times New Roman"/>
        </w:rPr>
        <w:t xml:space="preserve">: </w:t>
      </w:r>
      <w:r w:rsidRPr="00AA70C5">
        <w:rPr>
          <w:rFonts w:ascii="Times New Roman" w:hAnsi="Times New Roman" w:cs="Times New Roman"/>
          <w:bCs/>
        </w:rPr>
        <w:t>Permanent Plot Locations.</w:t>
      </w:r>
      <w:r>
        <w:rPr>
          <w:rFonts w:ascii="Times New Roman" w:hAnsi="Times New Roman" w:cs="Times New Roman"/>
        </w:rPr>
        <w:t xml:space="preserve">  GPS coordinates listed in decimal degrees, map datum and spheroid: WGS 84.</w:t>
      </w:r>
    </w:p>
    <w:tbl>
      <w:tblPr>
        <w:tblStyle w:val="TableGrid"/>
        <w:tblW w:w="0" w:type="auto"/>
        <w:tblLook w:val="04A0" w:firstRow="1" w:lastRow="0" w:firstColumn="1" w:lastColumn="0" w:noHBand="0" w:noVBand="1"/>
      </w:tblPr>
      <w:tblGrid>
        <w:gridCol w:w="1255"/>
        <w:gridCol w:w="2643"/>
        <w:gridCol w:w="1170"/>
        <w:gridCol w:w="1440"/>
        <w:gridCol w:w="1620"/>
      </w:tblGrid>
      <w:tr w:rsidR="00AA70C5" w:rsidRPr="00FA12BB" w14:paraId="2A5FA249" w14:textId="77777777" w:rsidTr="00AA70C5">
        <w:tc>
          <w:tcPr>
            <w:tcW w:w="1255" w:type="dxa"/>
          </w:tcPr>
          <w:p w14:paraId="0B4D5DA0"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Site</w:t>
            </w:r>
          </w:p>
        </w:tc>
        <w:tc>
          <w:tcPr>
            <w:tcW w:w="2643" w:type="dxa"/>
          </w:tcPr>
          <w:p w14:paraId="18635879" w14:textId="446A6E95" w:rsidR="00AA70C5" w:rsidRPr="00FA12BB" w:rsidRDefault="00AA70C5" w:rsidP="000A458C">
            <w:pPr>
              <w:rPr>
                <w:rFonts w:ascii="Times New Roman" w:hAnsi="Times New Roman" w:cs="Times New Roman"/>
                <w:b/>
                <w:sz w:val="20"/>
                <w:szCs w:val="20"/>
              </w:rPr>
            </w:pPr>
            <w:r>
              <w:rPr>
                <w:rFonts w:ascii="Times New Roman" w:hAnsi="Times New Roman" w:cs="Times New Roman"/>
                <w:b/>
                <w:sz w:val="20"/>
                <w:szCs w:val="20"/>
              </w:rPr>
              <w:t>Subpopulation</w:t>
            </w:r>
          </w:p>
        </w:tc>
        <w:tc>
          <w:tcPr>
            <w:tcW w:w="1170" w:type="dxa"/>
          </w:tcPr>
          <w:p w14:paraId="320D78B3" w14:textId="64D3474E"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Plot Name</w:t>
            </w:r>
          </w:p>
        </w:tc>
        <w:tc>
          <w:tcPr>
            <w:tcW w:w="1440" w:type="dxa"/>
          </w:tcPr>
          <w:p w14:paraId="49DC3FFF"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N Coordinate</w:t>
            </w:r>
          </w:p>
        </w:tc>
        <w:tc>
          <w:tcPr>
            <w:tcW w:w="1620" w:type="dxa"/>
          </w:tcPr>
          <w:p w14:paraId="218FF2BB"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W Coordinate</w:t>
            </w:r>
          </w:p>
        </w:tc>
      </w:tr>
      <w:tr w:rsidR="00AA70C5" w:rsidRPr="00FA12BB" w14:paraId="50476D9D" w14:textId="77777777" w:rsidTr="00AA70C5">
        <w:tc>
          <w:tcPr>
            <w:tcW w:w="1255" w:type="dxa"/>
          </w:tcPr>
          <w:p w14:paraId="31E1A6C2" w14:textId="077E788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3361D965" w14:textId="32122D82"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38C72AF5" w14:textId="3645EB5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U3</w:t>
            </w:r>
          </w:p>
        </w:tc>
        <w:tc>
          <w:tcPr>
            <w:tcW w:w="1440" w:type="dxa"/>
          </w:tcPr>
          <w:p w14:paraId="4BC7C19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41.13642</w:t>
            </w:r>
          </w:p>
        </w:tc>
        <w:tc>
          <w:tcPr>
            <w:tcW w:w="1620" w:type="dxa"/>
          </w:tcPr>
          <w:p w14:paraId="495B57E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104.87209</w:t>
            </w:r>
          </w:p>
        </w:tc>
      </w:tr>
      <w:tr w:rsidR="00AA70C5" w:rsidRPr="00FA12BB" w14:paraId="4F4FC4CF" w14:textId="77777777" w:rsidTr="00AA70C5">
        <w:tc>
          <w:tcPr>
            <w:tcW w:w="1255" w:type="dxa"/>
          </w:tcPr>
          <w:p w14:paraId="5F450B2E" w14:textId="0C7CFFFD"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FEWAFB</w:t>
            </w:r>
          </w:p>
        </w:tc>
        <w:tc>
          <w:tcPr>
            <w:tcW w:w="2643" w:type="dxa"/>
          </w:tcPr>
          <w:p w14:paraId="1876F7AD" w14:textId="0F048EB5"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76CADA2B" w14:textId="4BDDD666"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U4 </w:t>
            </w:r>
          </w:p>
        </w:tc>
        <w:tc>
          <w:tcPr>
            <w:tcW w:w="1440" w:type="dxa"/>
          </w:tcPr>
          <w:p w14:paraId="5F20AA7E"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41.13634</w:t>
            </w:r>
          </w:p>
        </w:tc>
        <w:tc>
          <w:tcPr>
            <w:tcW w:w="1620" w:type="dxa"/>
          </w:tcPr>
          <w:p w14:paraId="03397BD1"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104.87183</w:t>
            </w:r>
          </w:p>
        </w:tc>
      </w:tr>
      <w:tr w:rsidR="00AA70C5" w:rsidRPr="00FA12BB" w14:paraId="7BA3071E" w14:textId="77777777" w:rsidTr="00AA70C5">
        <w:tc>
          <w:tcPr>
            <w:tcW w:w="1255" w:type="dxa"/>
          </w:tcPr>
          <w:p w14:paraId="423E28C5" w14:textId="578FE37F"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FEWAFB</w:t>
            </w:r>
          </w:p>
        </w:tc>
        <w:tc>
          <w:tcPr>
            <w:tcW w:w="2643" w:type="dxa"/>
          </w:tcPr>
          <w:p w14:paraId="06ACF071" w14:textId="7B4BADF9"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65AEE9CD" w14:textId="27085B8D"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U6 </w:t>
            </w:r>
          </w:p>
        </w:tc>
        <w:tc>
          <w:tcPr>
            <w:tcW w:w="1440" w:type="dxa"/>
          </w:tcPr>
          <w:p w14:paraId="024C4E52"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41.13647</w:t>
            </w:r>
          </w:p>
        </w:tc>
        <w:tc>
          <w:tcPr>
            <w:tcW w:w="1620" w:type="dxa"/>
          </w:tcPr>
          <w:p w14:paraId="4465420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104.87132</w:t>
            </w:r>
          </w:p>
        </w:tc>
      </w:tr>
      <w:tr w:rsidR="00AA70C5" w:rsidRPr="00FA12BB" w14:paraId="0489AD21" w14:textId="77777777" w:rsidTr="00AA70C5">
        <w:tc>
          <w:tcPr>
            <w:tcW w:w="1255" w:type="dxa"/>
          </w:tcPr>
          <w:p w14:paraId="3855156A" w14:textId="58F0A05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53FDCCD4" w14:textId="74537B1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332365BD" w14:textId="3390C5B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D7 </w:t>
            </w:r>
          </w:p>
        </w:tc>
        <w:tc>
          <w:tcPr>
            <w:tcW w:w="1440" w:type="dxa"/>
          </w:tcPr>
          <w:p w14:paraId="7002E284"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41.14340</w:t>
            </w:r>
          </w:p>
        </w:tc>
        <w:tc>
          <w:tcPr>
            <w:tcW w:w="1620" w:type="dxa"/>
          </w:tcPr>
          <w:p w14:paraId="39B8E082"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104.88380</w:t>
            </w:r>
          </w:p>
        </w:tc>
      </w:tr>
      <w:tr w:rsidR="00AA70C5" w:rsidRPr="00FA12BB" w14:paraId="1A075DAA" w14:textId="77777777" w:rsidTr="00AA70C5">
        <w:tc>
          <w:tcPr>
            <w:tcW w:w="1255" w:type="dxa"/>
          </w:tcPr>
          <w:p w14:paraId="30C36C8F" w14:textId="2243A1AA"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21C63D91" w14:textId="3B3C2BBA"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54286BCF" w14:textId="4AA7C89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D10</w:t>
            </w:r>
          </w:p>
        </w:tc>
        <w:tc>
          <w:tcPr>
            <w:tcW w:w="1440" w:type="dxa"/>
          </w:tcPr>
          <w:p w14:paraId="2DBCD771"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41.14441</w:t>
            </w:r>
          </w:p>
        </w:tc>
        <w:tc>
          <w:tcPr>
            <w:tcW w:w="1620" w:type="dxa"/>
          </w:tcPr>
          <w:p w14:paraId="40A1CB77"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104.88303</w:t>
            </w:r>
          </w:p>
        </w:tc>
      </w:tr>
      <w:tr w:rsidR="00AA70C5" w:rsidRPr="00FA12BB" w14:paraId="5DD2D728" w14:textId="77777777" w:rsidTr="00AA70C5">
        <w:tc>
          <w:tcPr>
            <w:tcW w:w="1255" w:type="dxa"/>
          </w:tcPr>
          <w:p w14:paraId="27A0F689" w14:textId="1AE2A01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777D4EFB" w14:textId="06BC6CEF"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651EACF3" w14:textId="4D34A3D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D11</w:t>
            </w:r>
          </w:p>
        </w:tc>
        <w:tc>
          <w:tcPr>
            <w:tcW w:w="1440" w:type="dxa"/>
          </w:tcPr>
          <w:p w14:paraId="64DDD58B"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41.14431</w:t>
            </w:r>
          </w:p>
        </w:tc>
        <w:tc>
          <w:tcPr>
            <w:tcW w:w="1620" w:type="dxa"/>
          </w:tcPr>
          <w:p w14:paraId="2D562B96"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104.88094</w:t>
            </w:r>
          </w:p>
        </w:tc>
      </w:tr>
      <w:tr w:rsidR="00AA70C5" w:rsidRPr="00FA12BB" w14:paraId="3536ABA3" w14:textId="77777777" w:rsidTr="00AA70C5">
        <w:tc>
          <w:tcPr>
            <w:tcW w:w="1255" w:type="dxa"/>
          </w:tcPr>
          <w:p w14:paraId="7C95062D" w14:textId="0323843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04D099C8" w14:textId="21637434"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Crow Creek</w:t>
            </w:r>
          </w:p>
        </w:tc>
        <w:tc>
          <w:tcPr>
            <w:tcW w:w="1170" w:type="dxa"/>
          </w:tcPr>
          <w:p w14:paraId="7C1AD4B8" w14:textId="1D4BED05"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C4</w:t>
            </w:r>
          </w:p>
        </w:tc>
        <w:tc>
          <w:tcPr>
            <w:tcW w:w="1440" w:type="dxa"/>
          </w:tcPr>
          <w:p w14:paraId="2C5F9819"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41.15540</w:t>
            </w:r>
          </w:p>
        </w:tc>
        <w:tc>
          <w:tcPr>
            <w:tcW w:w="1620" w:type="dxa"/>
          </w:tcPr>
          <w:p w14:paraId="6A5AB74B"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104.87497</w:t>
            </w:r>
          </w:p>
        </w:tc>
      </w:tr>
      <w:tr w:rsidR="00AA70C5" w:rsidRPr="00FA12BB" w14:paraId="05547A79" w14:textId="77777777" w:rsidTr="00AA70C5">
        <w:tc>
          <w:tcPr>
            <w:tcW w:w="1255" w:type="dxa"/>
          </w:tcPr>
          <w:p w14:paraId="0D635B91" w14:textId="04941C3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419D8715" w14:textId="68AA04C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Crow Creek</w:t>
            </w:r>
          </w:p>
        </w:tc>
        <w:tc>
          <w:tcPr>
            <w:tcW w:w="1170" w:type="dxa"/>
          </w:tcPr>
          <w:p w14:paraId="37BC8ADD" w14:textId="51A853A3"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C5</w:t>
            </w:r>
          </w:p>
        </w:tc>
        <w:tc>
          <w:tcPr>
            <w:tcW w:w="1440" w:type="dxa"/>
          </w:tcPr>
          <w:p w14:paraId="57281B2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41.15477</w:t>
            </w:r>
          </w:p>
        </w:tc>
        <w:tc>
          <w:tcPr>
            <w:tcW w:w="1620" w:type="dxa"/>
          </w:tcPr>
          <w:p w14:paraId="38A74D7D"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104.87474</w:t>
            </w:r>
          </w:p>
        </w:tc>
      </w:tr>
      <w:tr w:rsidR="00AA70C5" w:rsidRPr="00FA12BB" w14:paraId="2B25A6F5" w14:textId="77777777" w:rsidTr="00AA70C5">
        <w:tc>
          <w:tcPr>
            <w:tcW w:w="1255" w:type="dxa"/>
          </w:tcPr>
          <w:p w14:paraId="14EB2111" w14:textId="7D25D749"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57007359" w14:textId="5D85405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Crow Creek</w:t>
            </w:r>
          </w:p>
        </w:tc>
        <w:tc>
          <w:tcPr>
            <w:tcW w:w="1170" w:type="dxa"/>
          </w:tcPr>
          <w:p w14:paraId="1B6049FE" w14:textId="5353F59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C8</w:t>
            </w:r>
          </w:p>
        </w:tc>
        <w:tc>
          <w:tcPr>
            <w:tcW w:w="1440" w:type="dxa"/>
          </w:tcPr>
          <w:p w14:paraId="58034D52"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41.15534</w:t>
            </w:r>
          </w:p>
        </w:tc>
        <w:tc>
          <w:tcPr>
            <w:tcW w:w="1620" w:type="dxa"/>
          </w:tcPr>
          <w:p w14:paraId="11BA1789"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104.87487</w:t>
            </w:r>
          </w:p>
        </w:tc>
      </w:tr>
      <w:tr w:rsidR="00AA70C5" w:rsidRPr="00FA12BB" w14:paraId="18649978" w14:textId="77777777" w:rsidTr="00AA70C5">
        <w:tc>
          <w:tcPr>
            <w:tcW w:w="1255" w:type="dxa"/>
          </w:tcPr>
          <w:p w14:paraId="5E82C3B8" w14:textId="7E73488F"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Soapstone</w:t>
            </w:r>
          </w:p>
        </w:tc>
        <w:tc>
          <w:tcPr>
            <w:tcW w:w="2643" w:type="dxa"/>
          </w:tcPr>
          <w:p w14:paraId="47BBC75F" w14:textId="15A4B14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599B44F5" w14:textId="4755F599"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S1</w:t>
            </w:r>
          </w:p>
        </w:tc>
        <w:tc>
          <w:tcPr>
            <w:tcW w:w="1440" w:type="dxa"/>
          </w:tcPr>
          <w:p w14:paraId="34B1400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40.99297</w:t>
            </w:r>
          </w:p>
        </w:tc>
        <w:tc>
          <w:tcPr>
            <w:tcW w:w="1620" w:type="dxa"/>
          </w:tcPr>
          <w:p w14:paraId="0EF2EC6C"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105.00925</w:t>
            </w:r>
          </w:p>
        </w:tc>
      </w:tr>
      <w:tr w:rsidR="00AA70C5" w:rsidRPr="00FA12BB" w14:paraId="20CE400C" w14:textId="77777777" w:rsidTr="00AA70C5">
        <w:tc>
          <w:tcPr>
            <w:tcW w:w="1255" w:type="dxa"/>
          </w:tcPr>
          <w:p w14:paraId="666046D7" w14:textId="4057EBFA"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7F6DB33" w14:textId="31F93FB1"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168A936E" w14:textId="09DC6AB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S2</w:t>
            </w:r>
          </w:p>
        </w:tc>
        <w:tc>
          <w:tcPr>
            <w:tcW w:w="1440" w:type="dxa"/>
          </w:tcPr>
          <w:p w14:paraId="5D4696F6"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40.99318</w:t>
            </w:r>
          </w:p>
        </w:tc>
        <w:tc>
          <w:tcPr>
            <w:tcW w:w="1620" w:type="dxa"/>
          </w:tcPr>
          <w:p w14:paraId="781A377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105.00935</w:t>
            </w:r>
          </w:p>
        </w:tc>
      </w:tr>
      <w:tr w:rsidR="00AA70C5" w:rsidRPr="00FA12BB" w14:paraId="7E94CF0D" w14:textId="77777777" w:rsidTr="00AA70C5">
        <w:tc>
          <w:tcPr>
            <w:tcW w:w="1255" w:type="dxa"/>
          </w:tcPr>
          <w:p w14:paraId="237BDD36" w14:textId="348F293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4FA9BB4" w14:textId="420D390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61E213B7" w14:textId="044422E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S3</w:t>
            </w:r>
          </w:p>
        </w:tc>
        <w:tc>
          <w:tcPr>
            <w:tcW w:w="1440" w:type="dxa"/>
          </w:tcPr>
          <w:p w14:paraId="391B4F0A"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40.99342</w:t>
            </w:r>
          </w:p>
        </w:tc>
        <w:tc>
          <w:tcPr>
            <w:tcW w:w="1620" w:type="dxa"/>
          </w:tcPr>
          <w:p w14:paraId="67B3FA4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105.00937</w:t>
            </w:r>
          </w:p>
        </w:tc>
      </w:tr>
      <w:tr w:rsidR="00AA70C5" w:rsidRPr="00FA12BB" w14:paraId="2F4DCAF0" w14:textId="77777777" w:rsidTr="00AA70C5">
        <w:tc>
          <w:tcPr>
            <w:tcW w:w="1255" w:type="dxa"/>
          </w:tcPr>
          <w:p w14:paraId="2DD82973" w14:textId="37432FAE"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34FAD8A2" w14:textId="0068415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58BAE0D7" w14:textId="5D34284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S4</w:t>
            </w:r>
          </w:p>
        </w:tc>
        <w:tc>
          <w:tcPr>
            <w:tcW w:w="1440" w:type="dxa"/>
          </w:tcPr>
          <w:p w14:paraId="14507D90"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40.98623</w:t>
            </w:r>
          </w:p>
        </w:tc>
        <w:tc>
          <w:tcPr>
            <w:tcW w:w="1620" w:type="dxa"/>
          </w:tcPr>
          <w:p w14:paraId="6EEDAE8A"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105.01691</w:t>
            </w:r>
          </w:p>
        </w:tc>
      </w:tr>
      <w:tr w:rsidR="00AA70C5" w:rsidRPr="00FA12BB" w14:paraId="0533C74A" w14:textId="77777777" w:rsidTr="00AA70C5">
        <w:tc>
          <w:tcPr>
            <w:tcW w:w="1255" w:type="dxa"/>
          </w:tcPr>
          <w:p w14:paraId="566F14C1" w14:textId="5895E1D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8B65F2D" w14:textId="71161CB9"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7E7C1975" w14:textId="16557D5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S5</w:t>
            </w:r>
          </w:p>
        </w:tc>
        <w:tc>
          <w:tcPr>
            <w:tcW w:w="1440" w:type="dxa"/>
          </w:tcPr>
          <w:p w14:paraId="79E9AC8A"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40.98639</w:t>
            </w:r>
          </w:p>
        </w:tc>
        <w:tc>
          <w:tcPr>
            <w:tcW w:w="1620" w:type="dxa"/>
          </w:tcPr>
          <w:p w14:paraId="148D20E6"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105.01671</w:t>
            </w:r>
          </w:p>
        </w:tc>
      </w:tr>
      <w:tr w:rsidR="00AA70C5" w:rsidRPr="00FA12BB" w14:paraId="1ADFBA2B" w14:textId="77777777" w:rsidTr="00AA70C5">
        <w:tc>
          <w:tcPr>
            <w:tcW w:w="1255" w:type="dxa"/>
          </w:tcPr>
          <w:p w14:paraId="2E710A0C" w14:textId="17CB946E"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1738250D" w14:textId="7858CB68"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419B2F9F" w14:textId="376E22C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S6</w:t>
            </w:r>
          </w:p>
        </w:tc>
        <w:tc>
          <w:tcPr>
            <w:tcW w:w="1440" w:type="dxa"/>
          </w:tcPr>
          <w:p w14:paraId="797EC89D"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40.98650</w:t>
            </w:r>
          </w:p>
        </w:tc>
        <w:tc>
          <w:tcPr>
            <w:tcW w:w="1620" w:type="dxa"/>
          </w:tcPr>
          <w:p w14:paraId="0FE337C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105.01656</w:t>
            </w:r>
          </w:p>
        </w:tc>
      </w:tr>
      <w:tr w:rsidR="00AA70C5" w:rsidRPr="00FA12BB" w14:paraId="0DB909B8" w14:textId="77777777" w:rsidTr="00AA70C5">
        <w:tc>
          <w:tcPr>
            <w:tcW w:w="1255" w:type="dxa"/>
          </w:tcPr>
          <w:p w14:paraId="13F5B42D" w14:textId="548C0BF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63CE804" w14:textId="532C9F73"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540DF0CC" w14:textId="5FF21C8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S7</w:t>
            </w:r>
          </w:p>
        </w:tc>
        <w:tc>
          <w:tcPr>
            <w:tcW w:w="1440" w:type="dxa"/>
          </w:tcPr>
          <w:p w14:paraId="35DBA2C5"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40.98753</w:t>
            </w:r>
          </w:p>
        </w:tc>
        <w:tc>
          <w:tcPr>
            <w:tcW w:w="1620" w:type="dxa"/>
          </w:tcPr>
          <w:p w14:paraId="46001F2E"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105.02148</w:t>
            </w:r>
          </w:p>
        </w:tc>
      </w:tr>
      <w:tr w:rsidR="00AA70C5" w:rsidRPr="00FA12BB" w14:paraId="1D266D58" w14:textId="77777777" w:rsidTr="00AA70C5">
        <w:tc>
          <w:tcPr>
            <w:tcW w:w="1255" w:type="dxa"/>
          </w:tcPr>
          <w:p w14:paraId="0EB6A1CD" w14:textId="4CED31F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53AC5FE" w14:textId="47E10FB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0F69F3AB" w14:textId="499DC92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S8</w:t>
            </w:r>
          </w:p>
        </w:tc>
        <w:tc>
          <w:tcPr>
            <w:tcW w:w="1440" w:type="dxa"/>
          </w:tcPr>
          <w:p w14:paraId="6EB59174"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40.98747</w:t>
            </w:r>
          </w:p>
        </w:tc>
        <w:tc>
          <w:tcPr>
            <w:tcW w:w="1620" w:type="dxa"/>
          </w:tcPr>
          <w:p w14:paraId="469A010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105.02179</w:t>
            </w:r>
          </w:p>
        </w:tc>
      </w:tr>
      <w:tr w:rsidR="00AA70C5" w:rsidRPr="00FA12BB" w14:paraId="0192AA58" w14:textId="77777777" w:rsidTr="00AA70C5">
        <w:tc>
          <w:tcPr>
            <w:tcW w:w="1255" w:type="dxa"/>
          </w:tcPr>
          <w:p w14:paraId="663D8FD9" w14:textId="7981462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58B7194" w14:textId="1E67540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62C47197" w14:textId="7ACA7F8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S9</w:t>
            </w:r>
          </w:p>
        </w:tc>
        <w:tc>
          <w:tcPr>
            <w:tcW w:w="1440" w:type="dxa"/>
          </w:tcPr>
          <w:p w14:paraId="25468E11"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40.98724</w:t>
            </w:r>
          </w:p>
        </w:tc>
        <w:tc>
          <w:tcPr>
            <w:tcW w:w="1620" w:type="dxa"/>
          </w:tcPr>
          <w:p w14:paraId="1EC4DE5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105.02145</w:t>
            </w:r>
          </w:p>
        </w:tc>
      </w:tr>
    </w:tbl>
    <w:p w14:paraId="1A5D9A84" w14:textId="77777777" w:rsidR="002C006F" w:rsidRPr="002C006F" w:rsidRDefault="002C006F" w:rsidP="002C006F">
      <w:pPr>
        <w:shd w:val="clear" w:color="auto" w:fill="FFFFFF"/>
        <w:spacing w:line="480" w:lineRule="auto"/>
        <w:textAlignment w:val="baseline"/>
        <w:rPr>
          <w:rFonts w:ascii="Times New Roman" w:eastAsia="Times New Roman" w:hAnsi="Times New Roman" w:cs="Times New Roman"/>
          <w:i/>
          <w:iCs/>
          <w:color w:val="000000" w:themeColor="text1"/>
        </w:rPr>
      </w:pPr>
    </w:p>
    <w:p w14:paraId="75A3CC81" w14:textId="58ABA8BC" w:rsidR="001778B4" w:rsidRDefault="00057944" w:rsidP="00DD641A">
      <w:pPr>
        <w:shd w:val="clear" w:color="auto" w:fill="FFFFFF"/>
        <w:spacing w:line="480" w:lineRule="auto"/>
        <w:textAlignment w:val="baseline"/>
        <w:rPr>
          <w:rFonts w:ascii="Times New Roman" w:hAnsi="Times New Roman" w:cs="Times New Roman"/>
          <w:color w:val="000000" w:themeColor="text1"/>
        </w:rPr>
      </w:pPr>
      <w:r w:rsidRPr="00057944">
        <w:rPr>
          <w:rFonts w:ascii="Times New Roman" w:eastAsia="Times New Roman" w:hAnsi="Times New Roman" w:cs="Times New Roman"/>
          <w:i/>
          <w:iCs/>
          <w:color w:val="000000" w:themeColor="text1"/>
        </w:rPr>
        <w:t xml:space="preserve">Environmental </w:t>
      </w:r>
      <w:r w:rsidR="00691AC2">
        <w:rPr>
          <w:rFonts w:ascii="Times New Roman" w:eastAsia="Times New Roman" w:hAnsi="Times New Roman" w:cs="Times New Roman"/>
          <w:i/>
          <w:iCs/>
          <w:color w:val="000000" w:themeColor="text1"/>
        </w:rPr>
        <w:t>Measurements</w:t>
      </w:r>
      <w:r w:rsidRPr="00057944">
        <w:rPr>
          <w:rFonts w:ascii="Times New Roman" w:eastAsia="Times New Roman" w:hAnsi="Times New Roman" w:cs="Times New Roman"/>
          <w:color w:val="000000" w:themeColor="text1"/>
        </w:rPr>
        <w:t xml:space="preserve">: </w:t>
      </w:r>
      <w:r w:rsidR="00281C8C">
        <w:rPr>
          <w:rFonts w:ascii="Times New Roman" w:hAnsi="Times New Roman" w:cs="Times New Roman"/>
          <w:color w:val="000000" w:themeColor="text1"/>
        </w:rPr>
        <w:t>W</w:t>
      </w:r>
      <w:r w:rsidR="002C006F" w:rsidRPr="002C006F">
        <w:rPr>
          <w:rFonts w:ascii="Times New Roman" w:hAnsi="Times New Roman" w:cs="Times New Roman"/>
          <w:color w:val="000000" w:themeColor="text1"/>
        </w:rPr>
        <w:t xml:space="preserve">e measured growing season </w:t>
      </w:r>
      <w:r w:rsidR="002C006F" w:rsidRPr="00057944">
        <w:rPr>
          <w:rFonts w:ascii="Times New Roman" w:eastAsia="Times New Roman" w:hAnsi="Times New Roman" w:cs="Times New Roman"/>
          <w:color w:val="000000" w:themeColor="text1"/>
        </w:rPr>
        <w:t>soil temperature</w:t>
      </w:r>
      <w:r w:rsidR="002C006F" w:rsidRPr="002C006F">
        <w:rPr>
          <w:rFonts w:ascii="Times New Roman" w:hAnsi="Times New Roman" w:cs="Times New Roman"/>
          <w:color w:val="000000" w:themeColor="text1"/>
        </w:rPr>
        <w:t xml:space="preserve"> and</w:t>
      </w:r>
      <w:r w:rsidR="002C006F" w:rsidRPr="00057944">
        <w:rPr>
          <w:rFonts w:ascii="Times New Roman" w:eastAsia="Times New Roman" w:hAnsi="Times New Roman" w:cs="Times New Roman"/>
          <w:color w:val="000000" w:themeColor="text1"/>
        </w:rPr>
        <w:t xml:space="preserve"> soil moisture at each plot</w:t>
      </w:r>
      <w:r w:rsidR="002C006F">
        <w:rPr>
          <w:rFonts w:ascii="Times New Roman" w:eastAsia="Times New Roman" w:hAnsi="Times New Roman" w:cs="Times New Roman"/>
          <w:color w:val="000000" w:themeColor="text1"/>
        </w:rPr>
        <w:t xml:space="preserve"> t</w:t>
      </w:r>
      <w:r w:rsidRPr="00057944">
        <w:rPr>
          <w:rFonts w:ascii="Times New Roman" w:eastAsia="Times New Roman" w:hAnsi="Times New Roman" w:cs="Times New Roman"/>
          <w:color w:val="000000" w:themeColor="text1"/>
        </w:rPr>
        <w:t xml:space="preserve">o quantify variation in </w:t>
      </w:r>
      <w:r w:rsidR="00F7554F">
        <w:rPr>
          <w:rFonts w:ascii="Times New Roman" w:eastAsia="Times New Roman" w:hAnsi="Times New Roman" w:cs="Times New Roman"/>
          <w:color w:val="000000" w:themeColor="text1"/>
        </w:rPr>
        <w:t xml:space="preserve">average </w:t>
      </w:r>
      <w:r w:rsidRPr="00057944">
        <w:rPr>
          <w:rFonts w:ascii="Times New Roman" w:eastAsia="Times New Roman" w:hAnsi="Times New Roman" w:cs="Times New Roman"/>
          <w:color w:val="000000" w:themeColor="text1"/>
        </w:rPr>
        <w:t xml:space="preserve">abiotic conditions </w:t>
      </w:r>
      <w:r w:rsidR="00C46A96">
        <w:rPr>
          <w:rFonts w:ascii="Times New Roman" w:eastAsia="Times New Roman" w:hAnsi="Times New Roman" w:cs="Times New Roman"/>
          <w:color w:val="000000" w:themeColor="text1"/>
        </w:rPr>
        <w:t>across</w:t>
      </w:r>
      <w:r w:rsidRPr="00057944">
        <w:rPr>
          <w:rFonts w:ascii="Times New Roman" w:eastAsia="Times New Roman" w:hAnsi="Times New Roman" w:cs="Times New Roman"/>
          <w:color w:val="000000" w:themeColor="text1"/>
        </w:rPr>
        <w:t xml:space="preserve"> subpopulations</w:t>
      </w:r>
      <w:r w:rsidR="002C006F">
        <w:rPr>
          <w:rFonts w:ascii="Times New Roman" w:eastAsia="Times New Roman" w:hAnsi="Times New Roman" w:cs="Times New Roman"/>
          <w:color w:val="000000" w:themeColor="text1"/>
        </w:rPr>
        <w:t xml:space="preserve">. </w:t>
      </w:r>
      <w:r w:rsidR="00281C8C">
        <w:rPr>
          <w:rFonts w:ascii="Times New Roman" w:eastAsia="Times New Roman" w:hAnsi="Times New Roman" w:cs="Times New Roman"/>
          <w:color w:val="000000" w:themeColor="text1"/>
        </w:rPr>
        <w:t xml:space="preserve">To measure soil temperature, </w:t>
      </w:r>
      <w:r w:rsidR="00281C8C">
        <w:rPr>
          <w:rFonts w:ascii="Times New Roman" w:hAnsi="Times New Roman" w:cs="Times New Roman"/>
          <w:color w:val="000000" w:themeColor="text1"/>
        </w:rPr>
        <w:t>we</w:t>
      </w:r>
      <w:r w:rsidR="002C006F" w:rsidRPr="002C006F">
        <w:rPr>
          <w:rFonts w:ascii="Times New Roman" w:hAnsi="Times New Roman" w:cs="Times New Roman"/>
          <w:color w:val="000000" w:themeColor="text1"/>
        </w:rPr>
        <w:t xml:space="preserve"> </w:t>
      </w:r>
      <w:r w:rsidR="00281C8C">
        <w:rPr>
          <w:rFonts w:ascii="Times New Roman" w:hAnsi="Times New Roman" w:cs="Times New Roman"/>
          <w:color w:val="000000" w:themeColor="text1"/>
        </w:rPr>
        <w:t>buried an</w:t>
      </w:r>
      <w:r w:rsidR="002C006F">
        <w:rPr>
          <w:rFonts w:ascii="Times New Roman" w:hAnsi="Times New Roman" w:cs="Times New Roman"/>
          <w:color w:val="000000" w:themeColor="text1"/>
        </w:rPr>
        <w:t xml:space="preserve"> </w:t>
      </w:r>
      <w:proofErr w:type="spellStart"/>
      <w:r w:rsidR="002C006F">
        <w:rPr>
          <w:rFonts w:ascii="Times New Roman" w:hAnsi="Times New Roman" w:cs="Times New Roman"/>
          <w:color w:val="000000" w:themeColor="text1"/>
        </w:rPr>
        <w:t>iButton</w:t>
      </w:r>
      <w:proofErr w:type="spellEnd"/>
      <w:r w:rsidR="002C006F">
        <w:rPr>
          <w:rFonts w:ascii="Times New Roman" w:hAnsi="Times New Roman" w:cs="Times New Roman"/>
          <w:color w:val="000000" w:themeColor="text1"/>
        </w:rPr>
        <w:t xml:space="preserve"> temperature logger (model SD19216-F5# </w:t>
      </w:r>
      <w:proofErr w:type="spellStart"/>
      <w:r w:rsidR="00281C8C">
        <w:rPr>
          <w:rFonts w:ascii="Times New Roman" w:hAnsi="Times New Roman" w:cs="Times New Roman"/>
          <w:color w:val="000000" w:themeColor="text1"/>
        </w:rPr>
        <w:t>Thermocron</w:t>
      </w:r>
      <w:proofErr w:type="spellEnd"/>
      <w:r w:rsidR="00281C8C">
        <w:rPr>
          <w:rFonts w:ascii="Times New Roman" w:hAnsi="Times New Roman" w:cs="Times New Roman"/>
          <w:color w:val="000000" w:themeColor="text1"/>
        </w:rPr>
        <w:t xml:space="preserve">) approximately 2 cm below the soil surface immediately outside the perimeter of each plot </w:t>
      </w:r>
      <w:r w:rsidR="00281C8C">
        <w:rPr>
          <w:rFonts w:ascii="Times New Roman" w:hAnsi="Times New Roman" w:cs="Times New Roman"/>
          <w:color w:val="000000" w:themeColor="text1"/>
        </w:rPr>
        <w:fldChar w:fldCharType="begin" w:fldLock="1"/>
      </w:r>
      <w:r w:rsidR="00143F37">
        <w:rPr>
          <w:rFonts w:ascii="Times New Roman" w:hAnsi="Times New Roman" w:cs="Times New Roman"/>
          <w:color w:val="000000" w:themeColor="text1"/>
        </w:rPr>
        <w:instrText>ADDIN CSL_CITATION {"citationItems":[{"id":"ITEM-1","itemData":{"DOI":"10.1007/s10661-013-3565-9","author":[{"dropping-particle":"","family":"Brabyn","given":"Lars","non-dropping-particle":"","parse-names":false,"suffix":""},{"dropping-particle":"","family":"Zawar-reza","given":"Peyman","non-dropping-particle":"","parse-names":false,"suffix":""},{"dropping-particle":"","family":"Stichbury","given":"Glen","non-dropping-particle":"","parse-names":false,"suffix":""},{"dropping-particle":"","family":"Cary","given":"Craig","non-dropping-particle":"","parse-names":false,"suffix":""},{"dropping-particle":"","family":"Storey","given":"Bryan","non-dropping-particle":"","parse-names":false,"suffix":""},{"dropping-particle":"","family":"Laughlin","given":"Daniel C","non-dropping-particle":"","parse-names":false,"suffix":""},{"dropping-particle":"","family":"Katurji","given":"Marwan","non-dropping-particle":"","parse-names":false,"suffix":""}],"id":"ITEM-1","issued":{"date-parts":[["2014"]]},"page":"2619-2628","title":"Accuracy assessment of land surface temperature retrievals from Landsat 7 ETM + in the Dry Valleys of Antarctica using iButton temperature loggers and weather station data","type":"article-journal"},"uris":["http://www.mendeley.com/documents/?uuid=8dd2d949-3e32-4ad6-9b98-f67d409061f2"]}],"mendeley":{"formattedCitation":"(Brabyn et al. 2014)","plainTextFormattedCitation":"(Brabyn et al. 2014)","previouslyFormattedCitation":"(Brabyn et al. 2014)"},"properties":{"noteIndex":0},"schema":"https://github.com/citation-style-language/schema/raw/master/csl-citation.json"}</w:instrText>
      </w:r>
      <w:r w:rsidR="00281C8C">
        <w:rPr>
          <w:rFonts w:ascii="Times New Roman" w:hAnsi="Times New Roman" w:cs="Times New Roman"/>
          <w:color w:val="000000" w:themeColor="text1"/>
        </w:rPr>
        <w:fldChar w:fldCharType="separate"/>
      </w:r>
      <w:r w:rsidR="0002340D" w:rsidRPr="0002340D">
        <w:rPr>
          <w:rFonts w:ascii="Times New Roman" w:hAnsi="Times New Roman" w:cs="Times New Roman"/>
          <w:noProof/>
          <w:color w:val="000000" w:themeColor="text1"/>
        </w:rPr>
        <w:t>(Brabyn et al. 2014)</w:t>
      </w:r>
      <w:r w:rsidR="00281C8C">
        <w:rPr>
          <w:rFonts w:ascii="Times New Roman" w:hAnsi="Times New Roman" w:cs="Times New Roman"/>
          <w:color w:val="000000" w:themeColor="text1"/>
        </w:rPr>
        <w:fldChar w:fldCharType="end"/>
      </w:r>
      <w:r w:rsidR="00281C8C">
        <w:rPr>
          <w:rFonts w:ascii="Times New Roman" w:hAnsi="Times New Roman" w:cs="Times New Roman"/>
          <w:color w:val="000000" w:themeColor="text1"/>
        </w:rPr>
        <w:t xml:space="preserve">. These iButtons </w:t>
      </w:r>
      <w:r w:rsidR="003D0250">
        <w:rPr>
          <w:rFonts w:ascii="Times New Roman" w:hAnsi="Times New Roman" w:cs="Times New Roman"/>
          <w:color w:val="000000" w:themeColor="text1"/>
        </w:rPr>
        <w:t>were in place from June 2019 through May 2020, and  r</w:t>
      </w:r>
      <w:r w:rsidR="00281C8C">
        <w:rPr>
          <w:rFonts w:ascii="Times New Roman" w:hAnsi="Times New Roman" w:cs="Times New Roman"/>
          <w:color w:val="000000" w:themeColor="text1"/>
        </w:rPr>
        <w:t>ecorded temperature every two hours</w:t>
      </w:r>
      <w:r w:rsidR="003D0250">
        <w:rPr>
          <w:rFonts w:ascii="Times New Roman" w:hAnsi="Times New Roman" w:cs="Times New Roman"/>
          <w:color w:val="000000" w:themeColor="text1"/>
        </w:rPr>
        <w:t xml:space="preserve"> over that period. </w:t>
      </w:r>
      <w:r w:rsidR="00F7554F">
        <w:rPr>
          <w:rFonts w:ascii="Times New Roman" w:hAnsi="Times New Roman" w:cs="Times New Roman"/>
          <w:color w:val="000000" w:themeColor="text1"/>
        </w:rPr>
        <w:t>From this data we calculated</w:t>
      </w:r>
      <w:r w:rsidR="00AB2D15">
        <w:rPr>
          <w:rFonts w:ascii="Times New Roman" w:hAnsi="Times New Roman" w:cs="Times New Roman"/>
          <w:color w:val="000000" w:themeColor="text1"/>
        </w:rPr>
        <w:t xml:space="preserve"> </w:t>
      </w:r>
      <w:r w:rsidR="00F7554F">
        <w:rPr>
          <w:rFonts w:ascii="Times New Roman" w:hAnsi="Times New Roman" w:cs="Times New Roman"/>
          <w:color w:val="000000" w:themeColor="text1"/>
        </w:rPr>
        <w:t>average</w:t>
      </w:r>
      <w:r w:rsidR="006834D7">
        <w:rPr>
          <w:rFonts w:ascii="Times New Roman" w:hAnsi="Times New Roman" w:cs="Times New Roman"/>
          <w:color w:val="000000" w:themeColor="text1"/>
        </w:rPr>
        <w:t xml:space="preserve"> and standard deviation of soil temperature during the </w:t>
      </w:r>
      <w:r w:rsidR="00F7554F">
        <w:rPr>
          <w:rFonts w:ascii="Times New Roman" w:hAnsi="Times New Roman" w:cs="Times New Roman"/>
          <w:color w:val="000000" w:themeColor="text1"/>
        </w:rPr>
        <w:t>growing season (April-</w:t>
      </w:r>
      <w:r w:rsidR="004F6279">
        <w:rPr>
          <w:rFonts w:ascii="Times New Roman" w:hAnsi="Times New Roman" w:cs="Times New Roman"/>
          <w:color w:val="000000" w:themeColor="text1"/>
        </w:rPr>
        <w:t>September)</w:t>
      </w:r>
      <w:r w:rsidR="00F7554F">
        <w:rPr>
          <w:rFonts w:ascii="Times New Roman" w:hAnsi="Times New Roman" w:cs="Times New Roman"/>
          <w:color w:val="000000" w:themeColor="text1"/>
        </w:rPr>
        <w:t xml:space="preserve"> and winter (</w:t>
      </w:r>
      <w:r w:rsidR="004F6279">
        <w:rPr>
          <w:rFonts w:ascii="Times New Roman" w:hAnsi="Times New Roman" w:cs="Times New Roman"/>
          <w:color w:val="000000" w:themeColor="text1"/>
        </w:rPr>
        <w:t>October</w:t>
      </w:r>
      <w:r w:rsidR="00045EBF">
        <w:rPr>
          <w:rFonts w:ascii="Times New Roman" w:hAnsi="Times New Roman" w:cs="Times New Roman"/>
          <w:color w:val="000000" w:themeColor="text1"/>
        </w:rPr>
        <w:t>-May).</w:t>
      </w:r>
      <w:r w:rsidR="00653008">
        <w:rPr>
          <w:rFonts w:ascii="Times New Roman" w:hAnsi="Times New Roman" w:cs="Times New Roman"/>
          <w:color w:val="000000" w:themeColor="text1"/>
        </w:rPr>
        <w:t xml:space="preserve"> </w:t>
      </w:r>
      <w:r w:rsidR="00AA4A7F">
        <w:rPr>
          <w:rFonts w:ascii="Times New Roman" w:hAnsi="Times New Roman" w:cs="Times New Roman"/>
          <w:color w:val="000000" w:themeColor="text1"/>
        </w:rPr>
        <w:t xml:space="preserve">Several iButtons were damaged or removed by </w:t>
      </w:r>
      <w:r w:rsidR="00B24DFA">
        <w:rPr>
          <w:rFonts w:ascii="Times New Roman" w:hAnsi="Times New Roman" w:cs="Times New Roman"/>
          <w:color w:val="000000" w:themeColor="text1"/>
        </w:rPr>
        <w:t>animals, so soil temperature values were averaged across plots in the same</w:t>
      </w:r>
      <w:r w:rsidR="00C35295">
        <w:rPr>
          <w:rFonts w:ascii="Times New Roman" w:hAnsi="Times New Roman" w:cs="Times New Roman"/>
          <w:color w:val="000000" w:themeColor="text1"/>
        </w:rPr>
        <w:t xml:space="preserve"> subpopulation.</w:t>
      </w:r>
      <w:r w:rsidR="00AA4A7F">
        <w:rPr>
          <w:rFonts w:ascii="Times New Roman" w:hAnsi="Times New Roman" w:cs="Times New Roman"/>
          <w:color w:val="000000" w:themeColor="text1"/>
        </w:rPr>
        <w:t xml:space="preserve"> </w:t>
      </w:r>
      <w:r w:rsidR="00653008">
        <w:rPr>
          <w:rFonts w:ascii="Times New Roman" w:hAnsi="Times New Roman" w:cs="Times New Roman"/>
          <w:color w:val="000000" w:themeColor="text1"/>
        </w:rPr>
        <w:t>We measured soil moisture</w:t>
      </w:r>
      <w:r w:rsidR="00C35295">
        <w:rPr>
          <w:rFonts w:ascii="Times New Roman" w:hAnsi="Times New Roman" w:cs="Times New Roman"/>
          <w:color w:val="000000" w:themeColor="text1"/>
        </w:rPr>
        <w:t xml:space="preserve"> </w:t>
      </w:r>
      <w:r w:rsidR="00C018C6">
        <w:rPr>
          <w:rFonts w:ascii="Times New Roman" w:hAnsi="Times New Roman" w:cs="Times New Roman"/>
          <w:color w:val="000000" w:themeColor="text1"/>
        </w:rPr>
        <w:t>using (</w:t>
      </w:r>
      <w:r w:rsidR="00C018C6" w:rsidRPr="00C018C6">
        <w:rPr>
          <w:rFonts w:ascii="Times New Roman" w:hAnsi="Times New Roman" w:cs="Times New Roman"/>
          <w:color w:val="000000" w:themeColor="text1"/>
          <w:highlight w:val="yellow"/>
        </w:rPr>
        <w:t>insert soil moisture meter details here</w:t>
      </w:r>
      <w:r w:rsidR="00C018C6">
        <w:rPr>
          <w:rFonts w:ascii="Times New Roman" w:hAnsi="Times New Roman" w:cs="Times New Roman"/>
          <w:color w:val="000000" w:themeColor="text1"/>
        </w:rPr>
        <w:t xml:space="preserve">) </w:t>
      </w:r>
      <w:r w:rsidR="00C35295">
        <w:rPr>
          <w:rFonts w:ascii="Times New Roman" w:hAnsi="Times New Roman" w:cs="Times New Roman"/>
          <w:color w:val="000000" w:themeColor="text1"/>
        </w:rPr>
        <w:t>at each plot on the same day in September, 2019</w:t>
      </w:r>
      <w:r w:rsidR="00C018C6">
        <w:rPr>
          <w:rFonts w:ascii="Times New Roman" w:hAnsi="Times New Roman" w:cs="Times New Roman"/>
          <w:color w:val="000000" w:themeColor="text1"/>
        </w:rPr>
        <w:t xml:space="preserve">. These soil temperature and moisture values were not used </w:t>
      </w:r>
      <w:r w:rsidR="00142655">
        <w:rPr>
          <w:rFonts w:ascii="Times New Roman" w:hAnsi="Times New Roman" w:cs="Times New Roman"/>
          <w:color w:val="000000" w:themeColor="text1"/>
        </w:rPr>
        <w:t>to predict changes in</w:t>
      </w:r>
      <w:r w:rsidR="00C018C6">
        <w:rPr>
          <w:rFonts w:ascii="Times New Roman" w:hAnsi="Times New Roman" w:cs="Times New Roman"/>
          <w:color w:val="000000" w:themeColor="text1"/>
        </w:rPr>
        <w:t xml:space="preserve"> population </w:t>
      </w:r>
      <w:r w:rsidR="00142655">
        <w:rPr>
          <w:rFonts w:ascii="Times New Roman" w:hAnsi="Times New Roman" w:cs="Times New Roman"/>
          <w:color w:val="000000" w:themeColor="text1"/>
        </w:rPr>
        <w:t xml:space="preserve">dynamics over time, but </w:t>
      </w:r>
      <w:r w:rsidR="001D79B8">
        <w:rPr>
          <w:rFonts w:ascii="Times New Roman" w:hAnsi="Times New Roman" w:cs="Times New Roman"/>
          <w:color w:val="000000" w:themeColor="text1"/>
        </w:rPr>
        <w:t>instead were used to test the effect of subpopulation-level differences in abiotic conditions on population dynamics.</w:t>
      </w:r>
      <w:r w:rsidR="00691AC2">
        <w:rPr>
          <w:rFonts w:ascii="Times New Roman" w:hAnsi="Times New Roman" w:cs="Times New Roman"/>
          <w:color w:val="000000" w:themeColor="text1"/>
        </w:rPr>
        <w:t xml:space="preserve"> These variables are referred to as “soil characteristics.” </w:t>
      </w:r>
      <w:r w:rsidR="001778B4">
        <w:rPr>
          <w:rFonts w:ascii="Times New Roman" w:hAnsi="Times New Roman" w:cs="Times New Roman"/>
          <w:color w:val="000000" w:themeColor="text1"/>
        </w:rPr>
        <w:t xml:space="preserve"> </w:t>
      </w:r>
    </w:p>
    <w:p w14:paraId="03709FF8" w14:textId="02B17C0C" w:rsidR="00A809EB" w:rsidRDefault="001778B4" w:rsidP="00DD641A">
      <w:pPr>
        <w:spacing w:line="480" w:lineRule="auto"/>
        <w:rPr>
          <w:color w:val="4472C4" w:themeColor="accent1"/>
        </w:rPr>
      </w:pPr>
      <w:r>
        <w:rPr>
          <w:rFonts w:ascii="Times New Roman" w:hAnsi="Times New Roman" w:cs="Times New Roman"/>
          <w:color w:val="000000" w:themeColor="text1"/>
        </w:rPr>
        <w:tab/>
        <w:t xml:space="preserve">To determine the effect of temporal variation in climate on </w:t>
      </w:r>
      <w:r>
        <w:rPr>
          <w:rFonts w:ascii="Times New Roman" w:hAnsi="Times New Roman" w:cs="Times New Roman"/>
          <w:i/>
          <w:iCs/>
          <w:color w:val="000000" w:themeColor="text1"/>
        </w:rPr>
        <w:t>O. coloradensis</w:t>
      </w:r>
      <w:r>
        <w:rPr>
          <w:rFonts w:ascii="Times New Roman" w:hAnsi="Times New Roman" w:cs="Times New Roman"/>
          <w:color w:val="000000" w:themeColor="text1"/>
        </w:rPr>
        <w:t xml:space="preserve"> populations, we used</w:t>
      </w:r>
      <w:r w:rsidR="00F40C61">
        <w:rPr>
          <w:rFonts w:ascii="Times New Roman" w:hAnsi="Times New Roman" w:cs="Times New Roman"/>
          <w:color w:val="000000" w:themeColor="text1"/>
        </w:rPr>
        <w:t xml:space="preserve"> modeled, site-level temperature and precipitation data </w:t>
      </w:r>
      <w:r>
        <w:rPr>
          <w:rFonts w:ascii="Times New Roman" w:hAnsi="Times New Roman" w:cs="Times New Roman"/>
          <w:color w:val="000000" w:themeColor="text1"/>
        </w:rPr>
        <w:t>from PRISM</w:t>
      </w:r>
      <w:r w:rsidR="00DD641A">
        <w:rPr>
          <w:rFonts w:ascii="Times New Roman" w:hAnsi="Times New Roman" w:cs="Times New Roman"/>
          <w:color w:val="000000" w:themeColor="text1"/>
        </w:rPr>
        <w:t xml:space="preserve"> (PRISM Climate Group, Oregon State University, </w:t>
      </w:r>
      <w:r w:rsidR="00DD641A" w:rsidRPr="00DD641A">
        <w:rPr>
          <w:rFonts w:ascii="Times New Roman" w:hAnsi="Times New Roman" w:cs="Times New Roman"/>
          <w:color w:val="000000" w:themeColor="text1"/>
        </w:rPr>
        <w:t>https://prism.oregonstate.edu</w:t>
      </w:r>
      <w:r w:rsidR="00DD641A">
        <w:rPr>
          <w:rFonts w:ascii="Times New Roman" w:hAnsi="Times New Roman" w:cs="Times New Roman"/>
          <w:color w:val="000000" w:themeColor="text1"/>
        </w:rPr>
        <w:t>, accessed 30 November 2021</w:t>
      </w:r>
      <w:r w:rsidR="00F40C61">
        <w:rPr>
          <w:rFonts w:ascii="Times New Roman" w:hAnsi="Times New Roman" w:cs="Times New Roman"/>
          <w:color w:val="000000" w:themeColor="text1"/>
        </w:rPr>
        <w:t xml:space="preserve">). We calculated </w:t>
      </w:r>
      <w:r w:rsidR="00ED6ECB">
        <w:rPr>
          <w:rFonts w:ascii="Times New Roman" w:hAnsi="Times New Roman" w:cs="Times New Roman"/>
          <w:color w:val="000000" w:themeColor="text1"/>
        </w:rPr>
        <w:t xml:space="preserve">the mean and standard deviation of </w:t>
      </w:r>
      <w:r w:rsidR="00C24CD3">
        <w:rPr>
          <w:rFonts w:ascii="Times New Roman" w:hAnsi="Times New Roman" w:cs="Times New Roman"/>
          <w:color w:val="000000" w:themeColor="text1"/>
        </w:rPr>
        <w:t xml:space="preserve">temperature for both the </w:t>
      </w:r>
      <w:r w:rsidR="003B7BE4">
        <w:rPr>
          <w:rFonts w:ascii="Times New Roman" w:hAnsi="Times New Roman" w:cs="Times New Roman"/>
          <w:color w:val="000000" w:themeColor="text1"/>
        </w:rPr>
        <w:t>growing season and preceding winter</w:t>
      </w:r>
      <w:r w:rsidR="00C24CD3">
        <w:rPr>
          <w:rFonts w:ascii="Times New Roman" w:hAnsi="Times New Roman" w:cs="Times New Roman"/>
          <w:color w:val="000000" w:themeColor="text1"/>
        </w:rPr>
        <w:t xml:space="preserve"> </w:t>
      </w:r>
      <w:r w:rsidR="003B7BE4">
        <w:rPr>
          <w:rFonts w:ascii="Times New Roman" w:hAnsi="Times New Roman" w:cs="Times New Roman"/>
          <w:color w:val="000000" w:themeColor="text1"/>
        </w:rPr>
        <w:t xml:space="preserve">season for each year of demographic data collection at FEWAFB and Soapstone Prairie. We also calculated total </w:t>
      </w:r>
      <w:r w:rsidR="00915FA3">
        <w:rPr>
          <w:rFonts w:ascii="Times New Roman" w:hAnsi="Times New Roman" w:cs="Times New Roman"/>
          <w:color w:val="000000" w:themeColor="text1"/>
        </w:rPr>
        <w:t xml:space="preserve">precipitation for each </w:t>
      </w:r>
      <w:r w:rsidR="003B7BE4">
        <w:rPr>
          <w:rFonts w:ascii="Times New Roman" w:hAnsi="Times New Roman" w:cs="Times New Roman"/>
          <w:color w:val="000000" w:themeColor="text1"/>
        </w:rPr>
        <w:t>water-year</w:t>
      </w:r>
      <w:r w:rsidR="00915FA3">
        <w:rPr>
          <w:rFonts w:ascii="Times New Roman" w:hAnsi="Times New Roman" w:cs="Times New Roman"/>
          <w:color w:val="000000" w:themeColor="text1"/>
        </w:rPr>
        <w:t>, which we defined as the period from October of the previous year to September of the current year</w:t>
      </w:r>
      <w:r w:rsidR="003B7BE4">
        <w:rPr>
          <w:rFonts w:ascii="Times New Roman" w:hAnsi="Times New Roman" w:cs="Times New Roman"/>
          <w:color w:val="000000" w:themeColor="text1"/>
        </w:rPr>
        <w:t>.</w:t>
      </w:r>
      <w:r w:rsidR="00691AC2">
        <w:rPr>
          <w:rFonts w:ascii="Times New Roman" w:hAnsi="Times New Roman" w:cs="Times New Roman"/>
          <w:color w:val="000000" w:themeColor="text1"/>
        </w:rPr>
        <w:t xml:space="preserve"> These variables are referred to as “environmental covariates.” </w:t>
      </w:r>
    </w:p>
    <w:p w14:paraId="09050DDC" w14:textId="1CC82EE3" w:rsidR="00E30FFD" w:rsidRDefault="009A2086" w:rsidP="001B7CA0">
      <w:pPr>
        <w:pStyle w:val="NormalWeb"/>
        <w:spacing w:line="480" w:lineRule="auto"/>
        <w:rPr>
          <w:color w:val="000000" w:themeColor="text1"/>
        </w:rPr>
      </w:pPr>
      <w:r w:rsidRPr="009A2086">
        <w:rPr>
          <w:i/>
          <w:iCs/>
          <w:color w:val="000000" w:themeColor="text1"/>
        </w:rPr>
        <w:t>Population Models</w:t>
      </w:r>
      <w:r w:rsidR="00691AC2">
        <w:rPr>
          <w:i/>
          <w:iCs/>
          <w:color w:val="000000" w:themeColor="text1"/>
        </w:rPr>
        <w:t>:</w:t>
      </w:r>
      <w:r w:rsidRPr="009A2086">
        <w:rPr>
          <w:color w:val="000000" w:themeColor="text1"/>
        </w:rPr>
        <w:t xml:space="preserve"> </w:t>
      </w:r>
      <w:r w:rsidR="009030F1">
        <w:rPr>
          <w:color w:val="000000" w:themeColor="text1"/>
        </w:rPr>
        <w:t xml:space="preserve">We used data from the demographic study detailed above </w:t>
      </w:r>
      <w:r w:rsidR="00107BB4">
        <w:rPr>
          <w:color w:val="000000" w:themeColor="text1"/>
        </w:rPr>
        <w:t xml:space="preserve">in combination with results from greenhouse and field seedbank studies, to parameterize integral projection models (IPMs) for </w:t>
      </w:r>
      <w:r w:rsidR="00107BB4">
        <w:rPr>
          <w:i/>
          <w:iCs/>
          <w:color w:val="000000" w:themeColor="text1"/>
        </w:rPr>
        <w:t>O. coloradensis</w:t>
      </w:r>
      <w:r w:rsidR="00107BB4">
        <w:rPr>
          <w:color w:val="000000" w:themeColor="text1"/>
        </w:rPr>
        <w:t>.</w:t>
      </w:r>
      <w:r w:rsidR="007377F2">
        <w:rPr>
          <w:color w:val="000000" w:themeColor="text1"/>
        </w:rPr>
        <w:t xml:space="preserve"> These IPMs each have a discrete seedbank stage, and a continuous, size-based stage for above-ground plants</w:t>
      </w:r>
      <w:r w:rsidR="0002340D">
        <w:rPr>
          <w:color w:val="000000" w:themeColor="text1"/>
        </w:rPr>
        <w:t xml:space="preserve"> </w:t>
      </w:r>
      <w:r w:rsidR="0002340D">
        <w:rPr>
          <w:color w:val="000000" w:themeColor="text1"/>
        </w:rPr>
        <w:fldChar w:fldCharType="begin" w:fldLock="1"/>
      </w:r>
      <w:r w:rsidR="00143F37">
        <w:rPr>
          <w:color w:val="000000" w:themeColor="text1"/>
        </w:rPr>
        <w:instrText>ADDIN CSL_CITATION {"citationItems":[{"id":"ITEM-1","itemData":{"DOI":"10.1086/505762","ISBN":"0003-0147","ISSN":"0003-0147","PMID":"16874623","abstract":"We explore the effects of temporal variation in multiple demographic rates on the joint evolution of delayed reproduction and seed dormancy using integral projection models (IPMs). To do this, we extend the standard IPM to include a discrete state variable representing the number of seeds in the seed bank, density-dependent recruitment, and temporal variation in demography. Parameter estimates for Carlina vulgaris and Carduus nutans are obtained from long-term studies. Carlina is relatively long lived and has a short-lived seed bank, whereas most Carduus plants flower in their first year and the seed bank is long lived. Using the evolutionarily stable strategy (ESS) approach, we predict the observed flowering and germination strategies. There is excellent agreement between the predictions and the field observations. The effects of temporal variation on the joint ESS are partitioned into components arising from nonlinear averaging (systematic changes in the mean resulting from the interaction between variability and nonlinearity) and nonequilibrium dynamics (fluctuations in fitness caused by temporal variation). This shows that temporal variation can have substantial effects on the observed flowering and germination strategies and that covariance between demographic processes is important. We extend the models to include spatial population structure and assess the robustness of the results from the nonspatial models.","author":[{"dropping-particle":"","family":"Rees","given":"Mark","non-dropping-particle":"","parse-names":false,"suffix":""},{"dropping-particle":"","family":"Childs","given":"Dylan Z.","non-dropping-particle":"","parse-names":false,"suffix":""},{"dropping-particle":"","family":"Metcalf","given":"C. Jessica E.","non-dropping-particle":"","parse-names":false,"suffix":""},{"dropping-particle":"","family":"Rose","given":"Karen E.","non-dropping-particle":"","parse-names":false,"suffix":""},{"dropping-particle":"","family":"Sheppard","given":"Andy W","non-dropping-particle":"","parse-names":false,"suffix":""},{"dropping-particle":"","family":"Grubb","given":"Peter J","non-dropping-particle":"","parse-names":false,"suffix":""}],"container-title":"The American Naturalist","id":"ITEM-1","issue":"2","issued":{"date-parts":[["2006"]]},"page":"E53-E71","title":"Seed dormancy and delayed flowering in monocarpic plants: selective interactions in a stochastic environment.","type":"article-journal","volume":"168"},"uris":["http://www.mendeley.com/documents/?uuid=e60764e2-1671-4e86-abd1-49812285d6bb"]},{"id":"ITEM-2","itemData":{"DOI":"10.1086/499438","ISSN":"00030147","PMID":"16673349","abstract":"Matrix projection models occupy a central role in population and conservation biology. Matrix models divide a population into discrete classes, even if the structuring trait exhibits continuous variation (e.g., body size). The integral projection model (IPM) avoids discrete classes and potential artifacts from arbitrary class divisions, facilitates parsimonious modeling based on smooth relationships between individual state and demographic performance, and can be implemented with standard matrix software. Here, we extend the IPM to species with complex demographic attributes, including dormant and active life stages, cross-classification by several attributes (e.g., size, age, and condition), and changes between discrete and continuous structure over the life cycle. We present a general model encompassing these cases, numerical methods, and theoretical results, including stable population growth and sensitivity/ elasticity analysis for density-independent models, local stability analysis in density-dependent models, and optimal/evolutionarily stable strategy life-history analysis. Our presentation centers on an IPM for the thistle Onopordum illyricum based on a 6-year field study. Flowering and death probabilities are size and age dependent, and individuals also vary in a latent attribute affecting survival, but a predictively accurate IPM is completely parameterized by fitting a few regression equations. The online edition of the American Naturalist includes a zip archive of R scripts illustrating our suggested methods. © 2006 by The University of Chicago. All rights reserved.","author":[{"dropping-particle":"","family":"Ellner","given":"Stephen P.","non-dropping-particle":"","parse-names":false,"suffix":""},{"dropping-particle":"","family":"Rees","given":"Mark","non-dropping-particle":"","parse-names":false,"suffix":""}],"container-title":"American Naturalist","id":"ITEM-2","issue":"3","issued":{"date-parts":[["2006"]]},"page":"410-428","title":"Integral projection models for species with complex demography","type":"article-journal","volume":"167"},"uris":["http://www.mendeley.com/documents/?uuid=32fc7119-c231-4ae5-934b-fb3de57e05ac"]},{"id":"ITEM-3","itemData":{"DOI":"10.1111/oik.03696","ISBN":"1600-0706","ISSN":"16000706","abstract":"Dormant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-3","issue":"6","issued":{"date-parts":[["2017"]]},"page":"900-909","title":"Accounting for uncertainty in dormant life stages in stochastic demographic models","type":"article-journal","volume":"126"},"uris":["http://www.mendeley.com/documents/?uuid=43ed3b29-94b8-4286-8d6a-e2b7763b671f"]}],"mendeley":{"formattedCitation":"(Ellner and Rees 2006, Rees et al. 2006, Paniw et al. 2017)","plainTextFormattedCitation":"(Ellner and Rees 2006, Rees et al. 2006, Paniw et al. 2017)","previouslyFormattedCitation":"(Ellner and Rees 2006, Rees et al. 2006, Paniw et al. 2017)"},"properties":{"noteIndex":0},"schema":"https://github.com/citation-style-language/schema/raw/master/csl-citation.json"}</w:instrText>
      </w:r>
      <w:r w:rsidR="0002340D">
        <w:rPr>
          <w:color w:val="000000" w:themeColor="text1"/>
        </w:rPr>
        <w:fldChar w:fldCharType="separate"/>
      </w:r>
      <w:r w:rsidR="0002340D" w:rsidRPr="0002340D">
        <w:rPr>
          <w:noProof/>
          <w:color w:val="000000" w:themeColor="text1"/>
        </w:rPr>
        <w:t>(Ellner and Rees 2006, Rees et al. 2006, Paniw et al. 2017)</w:t>
      </w:r>
      <w:r w:rsidR="0002340D">
        <w:rPr>
          <w:color w:val="000000" w:themeColor="text1"/>
        </w:rPr>
        <w:fldChar w:fldCharType="end"/>
      </w:r>
      <w:r w:rsidR="0002340D">
        <w:rPr>
          <w:color w:val="000000" w:themeColor="text1"/>
        </w:rPr>
        <w:t xml:space="preserve">. </w:t>
      </w:r>
      <w:r w:rsidR="005E0051">
        <w:rPr>
          <w:color w:val="000000" w:themeColor="text1"/>
        </w:rPr>
        <w:t xml:space="preserve"> </w:t>
      </w:r>
      <w:r w:rsidR="007377F2">
        <w:rPr>
          <w:color w:val="000000" w:themeColor="text1"/>
        </w:rPr>
        <w:t>We created IP</w:t>
      </w:r>
      <w:r w:rsidR="00F649E7">
        <w:rPr>
          <w:color w:val="000000" w:themeColor="text1"/>
        </w:rPr>
        <w:t>M</w:t>
      </w:r>
      <w:r w:rsidR="007377F2">
        <w:rPr>
          <w:color w:val="000000" w:themeColor="text1"/>
        </w:rPr>
        <w:t>s</w:t>
      </w:r>
      <w:r w:rsidR="00D80C76">
        <w:rPr>
          <w:color w:val="000000" w:themeColor="text1"/>
        </w:rPr>
        <w:t xml:space="preserve"> for</w:t>
      </w:r>
      <w:r w:rsidR="0060538C">
        <w:rPr>
          <w:color w:val="000000" w:themeColor="text1"/>
        </w:rPr>
        <w:t xml:space="preserve"> each subpopulation</w:t>
      </w:r>
      <w:r w:rsidR="00D80C76">
        <w:rPr>
          <w:color w:val="000000" w:themeColor="text1"/>
        </w:rPr>
        <w:t xml:space="preserve">, </w:t>
      </w:r>
      <w:r w:rsidR="00F649E7">
        <w:rPr>
          <w:color w:val="000000" w:themeColor="text1"/>
        </w:rPr>
        <w:t xml:space="preserve">and then using data from all </w:t>
      </w:r>
      <w:r w:rsidR="00782234">
        <w:rPr>
          <w:color w:val="000000" w:themeColor="text1"/>
        </w:rPr>
        <w:t>subpopulations</w:t>
      </w:r>
      <w:r w:rsidR="00F649E7">
        <w:rPr>
          <w:color w:val="000000" w:themeColor="text1"/>
        </w:rPr>
        <w:t>.</w:t>
      </w:r>
      <w:r w:rsidR="004429C4">
        <w:rPr>
          <w:color w:val="000000" w:themeColor="text1"/>
        </w:rPr>
        <w:t xml:space="preserve"> We made three versions of each IPM: </w:t>
      </w:r>
      <w:r w:rsidR="00653455">
        <w:rPr>
          <w:color w:val="000000" w:themeColor="text1"/>
        </w:rPr>
        <w:t>The first had only size in the current year as the predictor in vital rate models</w:t>
      </w:r>
      <w:r w:rsidR="00C06728">
        <w:rPr>
          <w:color w:val="000000" w:themeColor="text1"/>
        </w:rPr>
        <w:t>;</w:t>
      </w:r>
      <w:r w:rsidR="00653455">
        <w:rPr>
          <w:color w:val="000000" w:themeColor="text1"/>
        </w:rPr>
        <w:t xml:space="preserve"> the second </w:t>
      </w:r>
      <w:r w:rsidR="004429C4">
        <w:rPr>
          <w:color w:val="000000" w:themeColor="text1"/>
        </w:rPr>
        <w:t>incorporated density dependen</w:t>
      </w:r>
      <w:r w:rsidR="00653455">
        <w:rPr>
          <w:color w:val="000000" w:themeColor="text1"/>
        </w:rPr>
        <w:t xml:space="preserve">ce by including population size in the current year as a covariate </w:t>
      </w:r>
      <w:r w:rsidR="004429C4">
        <w:rPr>
          <w:color w:val="000000" w:themeColor="text1"/>
        </w:rPr>
        <w:t xml:space="preserve">in </w:t>
      </w:r>
      <w:r w:rsidR="00653455">
        <w:rPr>
          <w:color w:val="000000" w:themeColor="text1"/>
        </w:rPr>
        <w:t>vital rate models</w:t>
      </w:r>
      <w:r w:rsidR="00C06728">
        <w:rPr>
          <w:color w:val="000000" w:themeColor="text1"/>
        </w:rPr>
        <w:t>;</w:t>
      </w:r>
      <w:r w:rsidR="00653455">
        <w:rPr>
          <w:color w:val="000000" w:themeColor="text1"/>
        </w:rPr>
        <w:t xml:space="preserve"> and the third incorporated density dependence as well as environmental variation</w:t>
      </w:r>
      <w:r w:rsidR="00DD56D6">
        <w:rPr>
          <w:color w:val="000000" w:themeColor="text1"/>
        </w:rPr>
        <w:t xml:space="preserve"> </w:t>
      </w:r>
      <w:r w:rsidR="00C06728">
        <w:rPr>
          <w:color w:val="000000" w:themeColor="text1"/>
        </w:rPr>
        <w:t>by including covariates for</w:t>
      </w:r>
      <w:r w:rsidR="00DD56D6">
        <w:rPr>
          <w:color w:val="000000" w:themeColor="text1"/>
        </w:rPr>
        <w:t xml:space="preserve"> both population size and</w:t>
      </w:r>
      <w:r w:rsidR="00C06728">
        <w:rPr>
          <w:color w:val="000000" w:themeColor="text1"/>
        </w:rPr>
        <w:t xml:space="preserve"> abiotic conditions in vital rate models.</w:t>
      </w:r>
      <w:r w:rsidR="00B809AF">
        <w:rPr>
          <w:color w:val="000000" w:themeColor="text1"/>
        </w:rPr>
        <w:t xml:space="preserve"> </w:t>
      </w:r>
      <w:r w:rsidR="00B809AF" w:rsidRPr="00EE322E">
        <w:rPr>
          <w:color w:val="7030A0"/>
        </w:rPr>
        <w:t xml:space="preserve">We constructed this suite of IPMs first using data from all years, and then from each annual transition: 2018-2019 and 2019-2020. </w:t>
      </w:r>
      <w:r w:rsidR="008E23C8" w:rsidRPr="00EE322E">
        <w:rPr>
          <w:color w:val="7030A0"/>
        </w:rPr>
        <w:t xml:space="preserve"> </w:t>
      </w:r>
      <w:r w:rsidR="00DD56D6" w:rsidRPr="00EE322E">
        <w:rPr>
          <w:color w:val="7030A0"/>
        </w:rPr>
        <w:t xml:space="preserve"> </w:t>
      </w:r>
      <w:r w:rsidR="00C06728" w:rsidRPr="00EE322E">
        <w:rPr>
          <w:color w:val="7030A0"/>
        </w:rPr>
        <w:t xml:space="preserve"> </w:t>
      </w:r>
    </w:p>
    <w:p w14:paraId="60EE904B" w14:textId="19AD9FCC" w:rsidR="001B7CA0" w:rsidRDefault="00F13F46" w:rsidP="001B7CA0">
      <w:pPr>
        <w:pStyle w:val="NormalWeb"/>
        <w:spacing w:line="480" w:lineRule="auto"/>
        <w:contextualSpacing/>
        <w:rPr>
          <w:color w:val="000000" w:themeColor="text1"/>
        </w:rPr>
      </w:pPr>
      <w:r>
        <w:rPr>
          <w:color w:val="000000" w:themeColor="text1"/>
        </w:rPr>
        <w:tab/>
        <w:t xml:space="preserve">All of the IPMs used the same </w:t>
      </w:r>
      <w:r w:rsidR="00423007">
        <w:rPr>
          <w:color w:val="000000" w:themeColor="text1"/>
        </w:rPr>
        <w:t xml:space="preserve">kernel structure, where </w:t>
      </w:r>
      <w:r w:rsidR="005E0051">
        <w:rPr>
          <w:color w:val="000000" w:themeColor="text1"/>
        </w:rPr>
        <w:t xml:space="preserve">the continuous, above-ground </w:t>
      </w:r>
      <w:r w:rsidR="00423007">
        <w:rPr>
          <w:color w:val="000000" w:themeColor="text1"/>
        </w:rPr>
        <w:t xml:space="preserve">population </w:t>
      </w:r>
      <w:r w:rsidR="005E0051">
        <w:rPr>
          <w:color w:val="000000" w:themeColor="text1"/>
        </w:rPr>
        <w:t>size (</w:t>
      </w:r>
      <w:r w:rsidR="005E0051" w:rsidRPr="005E0051">
        <w:rPr>
          <w:i/>
          <w:iCs/>
          <w:color w:val="000000" w:themeColor="text1"/>
        </w:rPr>
        <w:t>n(z’, t+</w:t>
      </w:r>
      <w:r w:rsidR="005E0051" w:rsidRPr="005E0051">
        <w:rPr>
          <w:color w:val="000000" w:themeColor="text1"/>
        </w:rPr>
        <w:t>1</w:t>
      </w:r>
      <w:r w:rsidR="005E0051" w:rsidRPr="005E0051">
        <w:rPr>
          <w:i/>
          <w:iCs/>
          <w:color w:val="000000" w:themeColor="text1"/>
        </w:rPr>
        <w:t>)</w:t>
      </w:r>
      <w:r w:rsidR="005E0051">
        <w:rPr>
          <w:color w:val="000000" w:themeColor="text1"/>
        </w:rPr>
        <w:t>) and the seedbank (</w:t>
      </w:r>
      <w:r w:rsidR="005E0051" w:rsidRPr="005E0051">
        <w:rPr>
          <w:i/>
          <w:iCs/>
          <w:color w:val="000000" w:themeColor="text1"/>
        </w:rPr>
        <w:t>B(t+</w:t>
      </w:r>
      <w:r w:rsidR="005E0051" w:rsidRPr="005E0051">
        <w:rPr>
          <w:color w:val="000000" w:themeColor="text1"/>
        </w:rPr>
        <w:t>1</w:t>
      </w:r>
      <w:r w:rsidR="005E0051" w:rsidRPr="005E0051">
        <w:rPr>
          <w:i/>
          <w:iCs/>
          <w:color w:val="000000" w:themeColor="text1"/>
        </w:rPr>
        <w:t>)</w:t>
      </w:r>
      <w:r w:rsidR="005E0051">
        <w:rPr>
          <w:color w:val="000000" w:themeColor="text1"/>
        </w:rPr>
        <w:t xml:space="preserve">) at time </w:t>
      </w:r>
      <w:r w:rsidR="005E0051" w:rsidRPr="005E0051">
        <w:rPr>
          <w:i/>
          <w:iCs/>
          <w:color w:val="000000" w:themeColor="text1"/>
        </w:rPr>
        <w:t>t+</w:t>
      </w:r>
      <w:r w:rsidR="005E0051" w:rsidRPr="005E0051">
        <w:rPr>
          <w:color w:val="000000" w:themeColor="text1"/>
        </w:rPr>
        <w:t>1</w:t>
      </w:r>
      <w:r w:rsidR="005E0051" w:rsidRPr="005E0051">
        <w:rPr>
          <w:i/>
          <w:iCs/>
          <w:color w:val="000000" w:themeColor="text1"/>
        </w:rPr>
        <w:t xml:space="preserve"> </w:t>
      </w:r>
      <w:r w:rsidR="00782234">
        <w:rPr>
          <w:color w:val="000000" w:themeColor="text1"/>
        </w:rPr>
        <w:t>were</w:t>
      </w:r>
      <w:r w:rsidR="005E0051">
        <w:rPr>
          <w:color w:val="000000" w:themeColor="text1"/>
        </w:rPr>
        <w:t xml:space="preserve"> described by the following equation</w:t>
      </w:r>
      <w:r w:rsidR="001B7CA0">
        <w:rPr>
          <w:color w:val="000000" w:themeColor="text1"/>
        </w:rPr>
        <w:t xml:space="preserve">s: </w:t>
      </w:r>
    </w:p>
    <w:p w14:paraId="5DA81F4A" w14:textId="29EC2EC0" w:rsidR="00F13F46" w:rsidRPr="00F96C74" w:rsidRDefault="00875818" w:rsidP="00F96C74">
      <w:pPr>
        <w:pStyle w:val="NormalWeb"/>
        <w:spacing w:line="480" w:lineRule="auto"/>
        <w:ind w:left="720" w:hanging="720"/>
        <w:contextualSpacing/>
        <w:jc w:val="center"/>
        <w:rPr>
          <w:sz w:val="22"/>
          <w:szCs w:val="22"/>
        </w:rPr>
      </w:pPr>
      <m:oMathPara>
        <m:oMathParaPr>
          <m:jc m:val="left"/>
        </m:oMathParaPr>
        <m:oMath>
          <m:r>
            <w:rPr>
              <w:rFonts w:ascii="Cambria Math" w:hAnsi="Cambria Math"/>
              <w:sz w:val="22"/>
              <w:szCs w:val="22"/>
              <w:lang w:val="x-none"/>
            </w:rPr>
            <m:t>n</m:t>
          </m:r>
          <m:d>
            <m:dPr>
              <m:ctrlPr>
                <w:rPr>
                  <w:rFonts w:ascii="Cambria Math" w:hAnsi="Cambria Math"/>
                  <w:sz w:val="22"/>
                  <w:szCs w:val="22"/>
                  <w:lang w:val="x-none"/>
                </w:rPr>
              </m:ctrlPr>
            </m:dPr>
            <m:e>
              <m:sSup>
                <m:sSupPr>
                  <m:ctrlPr>
                    <w:rPr>
                      <w:rFonts w:ascii="Cambria Math" w:hAnsi="Cambria Math"/>
                      <w:sz w:val="22"/>
                      <w:szCs w:val="22"/>
                      <w:lang w:val="x-none"/>
                    </w:rPr>
                  </m:ctrlPr>
                </m:sSupPr>
                <m:e>
                  <m:r>
                    <w:rPr>
                      <w:rFonts w:ascii="Cambria Math" w:hAnsi="Cambria Math"/>
                      <w:sz w:val="22"/>
                      <w:szCs w:val="22"/>
                      <w:lang w:val="x-none"/>
                    </w:rPr>
                    <m:t>z</m:t>
                  </m:r>
                </m:e>
                <m:sup>
                  <m:r>
                    <m:rPr>
                      <m:sty m:val="p"/>
                    </m:rPr>
                    <w:rPr>
                      <w:rFonts w:ascii="Cambria Math" w:hAnsi="Cambria Math"/>
                      <w:sz w:val="22"/>
                      <w:szCs w:val="22"/>
                      <w:lang w:val="x-none"/>
                    </w:rPr>
                    <m:t>'</m:t>
                  </m:r>
                </m:sup>
              </m:sSup>
              <m:r>
                <m:rPr>
                  <m:sty m:val="p"/>
                </m:rPr>
                <w:rPr>
                  <w:rFonts w:ascii="Cambria Math" w:hAnsi="Cambria Math"/>
                  <w:sz w:val="22"/>
                  <w:szCs w:val="22"/>
                  <w:lang w:val="x-none"/>
                </w:rPr>
                <m:t>, </m:t>
              </m:r>
              <m:r>
                <w:rPr>
                  <w:rFonts w:ascii="Cambria Math" w:hAnsi="Cambria Math"/>
                  <w:sz w:val="22"/>
                  <w:szCs w:val="22"/>
                  <w:lang w:val="x-none"/>
                </w:rPr>
                <m:t>t</m:t>
              </m:r>
              <m:r>
                <m:rPr>
                  <m:sty m:val="p"/>
                </m:rPr>
                <w:rPr>
                  <w:rFonts w:ascii="Cambria Math" w:hAnsi="Cambria Math"/>
                  <w:sz w:val="22"/>
                  <w:szCs w:val="22"/>
                  <w:lang w:val="x-none"/>
                </w:rPr>
                <m:t>+1</m:t>
              </m:r>
            </m:e>
          </m:d>
          <m:r>
            <m:rPr>
              <m:sty m:val="p"/>
            </m:rPr>
            <w:rPr>
              <w:rFonts w:ascii="Cambria Math" w:hAnsi="Cambria Math"/>
              <w:sz w:val="22"/>
              <w:szCs w:val="22"/>
              <w:lang w:val="x-none"/>
            </w:rPr>
            <m:t>=</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d>
                <m:dPr>
                  <m:ctrlPr>
                    <w:rPr>
                      <w:rFonts w:ascii="Cambria Math" w:hAnsi="Cambria Math"/>
                      <w:sz w:val="22"/>
                      <w:szCs w:val="22"/>
                      <w:lang w:val="x-none"/>
                    </w:rPr>
                  </m:ctrlPr>
                </m:dPr>
                <m:e>
                  <m:r>
                    <m:rPr>
                      <m:sty m:val="p"/>
                    </m:rPr>
                    <w:rPr>
                      <w:rFonts w:ascii="Cambria Math" w:hAnsi="Cambria Math"/>
                      <w:sz w:val="22"/>
                      <w:szCs w:val="22"/>
                      <w:lang w:val="x-none"/>
                    </w:rPr>
                    <m:t>1-</m:t>
                  </m:r>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e>
              </m:d>
              <m:r>
                <m:rPr>
                  <m:sty m:val="p"/>
                </m:rPr>
                <w:rPr>
                  <w:rFonts w:ascii="Cambria Math" w:hAnsi="Cambria Math"/>
                  <w:sz w:val="22"/>
                  <w:szCs w:val="22"/>
                  <w:lang w:val="x-none"/>
                </w:rPr>
                <m:t> </m:t>
              </m:r>
              <m:r>
                <w:rPr>
                  <w:rFonts w:ascii="Cambria Math" w:hAnsi="Cambria Math"/>
                  <w:sz w:val="22"/>
                  <w:szCs w:val="22"/>
                  <w:lang w:val="x-none"/>
                </w:rPr>
                <m:t>s</m:t>
              </m:r>
              <m:d>
                <m:dPr>
                  <m:ctrlPr>
                    <w:rPr>
                      <w:rFonts w:ascii="Cambria Math" w:hAnsi="Cambria Math"/>
                      <w:sz w:val="22"/>
                      <w:szCs w:val="22"/>
                      <w:lang w:val="x-none"/>
                    </w:rPr>
                  </m:ctrlPr>
                </m:dPr>
                <m:e>
                  <m:r>
                    <w:rPr>
                      <w:rFonts w:ascii="Cambria Math" w:hAnsi="Cambria Math"/>
                      <w:sz w:val="22"/>
                      <w:szCs w:val="22"/>
                      <w:lang w:val="x-none"/>
                    </w:rPr>
                    <m:t>z</m:t>
                  </m:r>
                </m:e>
              </m:d>
              <m:r>
                <m:rPr>
                  <m:sty m:val="p"/>
                </m:rPr>
                <w:rPr>
                  <w:rFonts w:ascii="Cambria Math" w:hAnsi="Cambria Math"/>
                  <w:sz w:val="22"/>
                  <w:szCs w:val="22"/>
                  <w:lang w:val="x-none"/>
                </w:rPr>
                <m:t> G</m:t>
              </m:r>
              <m:d>
                <m:dPr>
                  <m:ctrlPr>
                    <w:rPr>
                      <w:rFonts w:ascii="Cambria Math" w:hAnsi="Cambria Math"/>
                      <w:sz w:val="22"/>
                      <w:szCs w:val="22"/>
                      <w:lang w:val="x-none"/>
                    </w:rPr>
                  </m:ctrlPr>
                </m:dPr>
                <m:e>
                  <m:sSup>
                    <m:sSupPr>
                      <m:ctrlPr>
                        <w:rPr>
                          <w:rFonts w:ascii="Cambria Math" w:hAnsi="Cambria Math"/>
                          <w:sz w:val="22"/>
                          <w:szCs w:val="22"/>
                          <w:lang w:val="x-none"/>
                        </w:rPr>
                      </m:ctrlPr>
                    </m:sSupPr>
                    <m:e>
                      <m:r>
                        <w:rPr>
                          <w:rFonts w:ascii="Cambria Math" w:hAnsi="Cambria Math"/>
                          <w:sz w:val="22"/>
                          <w:szCs w:val="22"/>
                          <w:lang w:val="x-none"/>
                        </w:rPr>
                        <m:t>z</m:t>
                      </m:r>
                    </m:e>
                    <m:sup>
                      <m:r>
                        <m:rPr>
                          <m:sty m:val="p"/>
                        </m:rPr>
                        <w:rPr>
                          <w:rFonts w:ascii="Cambria Math" w:hAnsi="Cambria Math"/>
                          <w:sz w:val="22"/>
                          <w:szCs w:val="22"/>
                          <w:lang w:val="x-none"/>
                        </w:rPr>
                        <m:t>'</m:t>
                      </m:r>
                    </m:sup>
                  </m:sSup>
                  <m:r>
                    <m:rPr>
                      <m:sty m:val="p"/>
                    </m:rPr>
                    <w:rPr>
                      <w:rFonts w:ascii="Cambria Math" w:hAnsi="Cambria Math"/>
                      <w:sz w:val="22"/>
                      <w:szCs w:val="22"/>
                      <w:lang w:val="x-none"/>
                    </w:rPr>
                    <m:t>,</m:t>
                  </m:r>
                  <m:r>
                    <w:rPr>
                      <w:rFonts w:ascii="Cambria Math" w:hAnsi="Cambria Math"/>
                      <w:sz w:val="22"/>
                      <w:szCs w:val="22"/>
                      <w:lang w:val="x-none"/>
                    </w:rPr>
                    <m:t>z</m:t>
                  </m:r>
                </m:e>
              </m:d>
              <m:r>
                <m:rPr>
                  <m:sty m:val="p"/>
                </m:rPr>
                <w:rPr>
                  <w:rFonts w:ascii="Cambria Math" w:hAnsi="Cambria Math"/>
                  <w:sz w:val="22"/>
                  <w:szCs w:val="22"/>
                  <w:lang w:val="x-none"/>
                </w:rPr>
                <m:t> </m:t>
              </m:r>
              <m:r>
                <w:rPr>
                  <w:rFonts w:ascii="Cambria Math" w:hAnsi="Cambria Math"/>
                  <w:sz w:val="22"/>
                  <w:szCs w:val="22"/>
                  <w:lang w:val="x-none"/>
                </w:rPr>
                <m:t>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m:rPr>
              <m:sty m:val="p"/>
            </m:rPr>
            <w:rPr>
              <w:rFonts w:ascii="Cambria Math" w:hAnsi="Cambria Math"/>
              <w:sz w:val="22"/>
              <w:szCs w:val="22"/>
              <w:lang w:val="x-none"/>
            </w:rPr>
            <m:t xml:space="preserve">              + </m:t>
          </m:r>
          <m:r>
            <w:rPr>
              <w:rFonts w:ascii="Cambria Math" w:hAnsi="Cambria Math"/>
              <w:sz w:val="22"/>
              <w:szCs w:val="22"/>
              <w:lang w:val="x-none"/>
            </w:rPr>
            <m:t>goCont</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b</m:t>
              </m:r>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m:t>
              </m:r>
              <m:sSub>
                <m:sSubPr>
                  <m:ctrlPr>
                    <w:rPr>
                      <w:rFonts w:ascii="Cambria Math" w:hAnsi="Cambria Math"/>
                      <w:sz w:val="22"/>
                      <w:szCs w:val="22"/>
                      <w:lang w:val="x-none"/>
                    </w:rPr>
                  </m:ctrlPr>
                </m:sSubPr>
                <m:e>
                  <m:r>
                    <w:rPr>
                      <w:rFonts w:ascii="Cambria Math" w:hAnsi="Cambria Math"/>
                      <w:sz w:val="22"/>
                      <w:szCs w:val="22"/>
                      <w:lang w:val="x-none"/>
                    </w:rPr>
                    <m:t>c</m:t>
                  </m:r>
                </m:e>
                <m:sub>
                  <m:r>
                    <w:rPr>
                      <w:rFonts w:ascii="Cambria Math" w:hAnsi="Cambria Math"/>
                      <w:sz w:val="22"/>
                      <w:szCs w:val="22"/>
                      <w:lang w:val="x-none"/>
                    </w:rPr>
                    <m:t>o</m:t>
                  </m:r>
                </m:sub>
              </m:sSub>
              <m:d>
                <m:dPr>
                  <m:ctrlPr>
                    <w:rPr>
                      <w:rFonts w:ascii="Cambria Math" w:hAnsi="Cambria Math"/>
                      <w:sz w:val="22"/>
                      <w:szCs w:val="22"/>
                      <w:lang w:val="x-none"/>
                    </w:rPr>
                  </m:ctrlPr>
                </m:dPr>
                <m:e>
                  <m:sSup>
                    <m:sSupPr>
                      <m:ctrlPr>
                        <w:rPr>
                          <w:rFonts w:ascii="Cambria Math" w:hAnsi="Cambria Math"/>
                          <w:sz w:val="22"/>
                          <w:szCs w:val="22"/>
                          <w:lang w:val="x-none"/>
                        </w:rPr>
                      </m:ctrlPr>
                    </m:sSupPr>
                    <m:e>
                      <m:r>
                        <m:rPr>
                          <m:sty m:val="p"/>
                        </m:rPr>
                        <w:rPr>
                          <w:rFonts w:ascii="Cambria Math" w:hAnsi="Cambria Math"/>
                          <w:sz w:val="22"/>
                          <w:szCs w:val="22"/>
                          <w:lang w:val="x-none"/>
                        </w:rPr>
                        <m:t>z</m:t>
                      </m:r>
                    </m:e>
                    <m:sup>
                      <m:r>
                        <m:rPr>
                          <m:sty m:val="p"/>
                        </m:rPr>
                        <w:rPr>
                          <w:rFonts w:ascii="Cambria Math" w:hAnsi="Cambria Math"/>
                          <w:sz w:val="22"/>
                          <w:szCs w:val="22"/>
                          <w:lang w:val="x-none"/>
                        </w:rPr>
                        <m:t>'</m:t>
                      </m:r>
                    </m:sup>
                  </m:sSup>
                </m:e>
              </m:d>
              <m:r>
                <m:rPr>
                  <m:sty m:val="p"/>
                </m:rPr>
                <w:rPr>
                  <w:rFonts w:ascii="Cambria Math" w:hAnsi="Cambria Math"/>
                  <w:sz w:val="22"/>
                  <w:szCs w:val="22"/>
                  <w:lang w:val="x-none"/>
                </w:rPr>
                <m:t> </m:t>
              </m:r>
              <m:r>
                <w:rPr>
                  <w:rFonts w:ascii="Cambria Math" w:hAnsi="Cambria Math"/>
                  <w:sz w:val="22"/>
                  <w:szCs w:val="22"/>
                  <w:lang w:val="x-none"/>
                </w:rPr>
                <m:t>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w:rPr>
              <w:rFonts w:ascii="Cambria Math" w:hAnsi="Cambria Math"/>
              <w:sz w:val="22"/>
              <w:szCs w:val="22"/>
              <w:lang w:val="x-none"/>
            </w:rPr>
            <m:t xml:space="preserve">+outSB </m:t>
          </m:r>
          <m:d>
            <m:dPr>
              <m:ctrlPr>
                <w:rPr>
                  <w:rFonts w:ascii="Cambria Math" w:hAnsi="Cambria Math"/>
                  <w:i/>
                  <w:sz w:val="22"/>
                  <w:szCs w:val="22"/>
                  <w:lang w:val="x-none"/>
                </w:rPr>
              </m:ctrlPr>
            </m:dPr>
            <m:e>
              <m:r>
                <w:rPr>
                  <w:rFonts w:ascii="Cambria Math" w:hAnsi="Cambria Math"/>
                  <w:sz w:val="22"/>
                  <w:szCs w:val="22"/>
                  <w:lang w:val="x-none"/>
                </w:rPr>
                <m:t>B</m:t>
              </m:r>
              <m:d>
                <m:dPr>
                  <m:ctrlPr>
                    <w:rPr>
                      <w:rFonts w:ascii="Cambria Math" w:hAnsi="Cambria Math"/>
                      <w:i/>
                      <w:sz w:val="22"/>
                      <w:szCs w:val="22"/>
                      <w:lang w:val="x-none"/>
                    </w:rPr>
                  </m:ctrlPr>
                </m:dPr>
                <m:e>
                  <m:r>
                    <w:rPr>
                      <w:rFonts w:ascii="Cambria Math" w:hAnsi="Cambria Math"/>
                      <w:sz w:val="22"/>
                      <w:szCs w:val="22"/>
                      <w:lang w:val="x-none"/>
                    </w:rPr>
                    <m:t>t</m:t>
                  </m:r>
                </m:e>
              </m:d>
              <m:sSub>
                <m:sSubPr>
                  <m:ctrlPr>
                    <w:rPr>
                      <w:rFonts w:ascii="Cambria Math" w:hAnsi="Cambria Math"/>
                      <w:sz w:val="22"/>
                      <w:szCs w:val="22"/>
                      <w:lang w:val="x-none"/>
                    </w:rPr>
                  </m:ctrlPr>
                </m:sSubPr>
                <m:e>
                  <m:r>
                    <w:rPr>
                      <w:rFonts w:ascii="Cambria Math" w:hAnsi="Cambria Math"/>
                      <w:sz w:val="22"/>
                      <w:szCs w:val="22"/>
                      <w:lang w:val="x-none"/>
                    </w:rPr>
                    <m:t>c</m:t>
                  </m:r>
                </m:e>
                <m:sub>
                  <m:r>
                    <w:rPr>
                      <w:rFonts w:ascii="Cambria Math" w:hAnsi="Cambria Math"/>
                      <w:sz w:val="22"/>
                      <w:szCs w:val="22"/>
                      <w:lang w:val="x-none"/>
                    </w:rPr>
                    <m:t>o</m:t>
                  </m:r>
                </m:sub>
              </m:sSub>
              <m:d>
                <m:dPr>
                  <m:ctrlPr>
                    <w:rPr>
                      <w:rFonts w:ascii="Cambria Math" w:hAnsi="Cambria Math"/>
                      <w:sz w:val="22"/>
                      <w:szCs w:val="22"/>
                      <w:lang w:val="x-none"/>
                    </w:rPr>
                  </m:ctrlPr>
                </m:dPr>
                <m:e>
                  <m:sSup>
                    <m:sSupPr>
                      <m:ctrlPr>
                        <w:rPr>
                          <w:rFonts w:ascii="Cambria Math" w:hAnsi="Cambria Math"/>
                          <w:sz w:val="22"/>
                          <w:szCs w:val="22"/>
                          <w:lang w:val="x-none"/>
                        </w:rPr>
                      </m:ctrlPr>
                    </m:sSupPr>
                    <m:e>
                      <m:r>
                        <m:rPr>
                          <m:sty m:val="p"/>
                        </m:rPr>
                        <w:rPr>
                          <w:rFonts w:ascii="Cambria Math" w:hAnsi="Cambria Math"/>
                          <w:sz w:val="22"/>
                          <w:szCs w:val="22"/>
                          <w:lang w:val="x-none"/>
                        </w:rPr>
                        <m:t>z</m:t>
                      </m:r>
                    </m:e>
                    <m:sup>
                      <m:r>
                        <m:rPr>
                          <m:sty m:val="p"/>
                        </m:rPr>
                        <w:rPr>
                          <w:rFonts w:ascii="Cambria Math" w:hAnsi="Cambria Math"/>
                          <w:sz w:val="22"/>
                          <w:szCs w:val="22"/>
                          <w:lang w:val="x-none"/>
                        </w:rPr>
                        <m:t>'</m:t>
                      </m:r>
                    </m:sup>
                  </m:sSup>
                </m:e>
              </m:d>
            </m:e>
          </m:d>
          <m:r>
            <m:rPr>
              <m:sty m:val="p"/>
            </m:rPr>
            <w:rPr>
              <w:rFonts w:ascii="Cambria Math" w:hAnsi="Cambria Math"/>
              <w:sz w:val="22"/>
              <w:szCs w:val="22"/>
              <w:lang w:val="x-none"/>
            </w:rPr>
            <m:t xml:space="preserve">         </m:t>
          </m:r>
          <m:r>
            <m:rPr>
              <m:sty m:val="b"/>
            </m:rPr>
            <w:rPr>
              <w:rFonts w:ascii="Cambria Math" w:hAnsi="Cambria Math"/>
              <w:sz w:val="22"/>
              <w:szCs w:val="22"/>
              <w:lang w:val="x-none"/>
            </w:rPr>
            <m:t>eqn 1</m:t>
          </m:r>
        </m:oMath>
      </m:oMathPara>
    </w:p>
    <w:p w14:paraId="19464E88" w14:textId="7CD55708" w:rsidR="002A7CD5" w:rsidRPr="00D50E0D" w:rsidRDefault="00D50E0D" w:rsidP="00D50E0D">
      <w:pPr>
        <w:pStyle w:val="NormalWeb"/>
        <w:spacing w:line="480" w:lineRule="auto"/>
        <w:ind w:left="630" w:firstLine="90"/>
        <w:contextualSpacing/>
        <w:rPr>
          <w:color w:val="000000" w:themeColor="text1"/>
        </w:rPr>
      </w:pPr>
      <m:oMathPara>
        <m:oMathParaPr>
          <m:jc m:val="left"/>
        </m:oMathParaPr>
        <m:oMath>
          <m:r>
            <w:rPr>
              <w:rFonts w:ascii="Cambria Math" w:hAnsi="Cambria Math"/>
              <w:sz w:val="22"/>
              <w:szCs w:val="22"/>
              <w:lang w:val="x-none"/>
            </w:rPr>
            <m:t>B</m:t>
          </m:r>
          <m:d>
            <m:dPr>
              <m:ctrlPr>
                <w:rPr>
                  <w:rFonts w:ascii="Cambria Math" w:hAnsi="Cambria Math"/>
                  <w:sz w:val="22"/>
                  <w:szCs w:val="22"/>
                  <w:lang w:val="x-none"/>
                </w:rPr>
              </m:ctrlPr>
            </m:dPr>
            <m:e>
              <m:r>
                <w:rPr>
                  <w:rFonts w:ascii="Cambria Math" w:hAnsi="Cambria Math"/>
                  <w:sz w:val="22"/>
                  <w:szCs w:val="22"/>
                  <w:lang w:val="x-none"/>
                </w:rPr>
                <m:t>t</m:t>
              </m:r>
              <m:r>
                <m:rPr>
                  <m:sty m:val="p"/>
                </m:rPr>
                <w:rPr>
                  <w:rFonts w:ascii="Cambria Math" w:hAnsi="Cambria Math"/>
                  <w:sz w:val="22"/>
                  <w:szCs w:val="22"/>
                  <w:lang w:val="x-none"/>
                </w:rPr>
                <m:t>+1</m:t>
              </m:r>
            </m:e>
          </m:d>
          <m:r>
            <m:rPr>
              <m:sty m:val="p"/>
            </m:rPr>
            <w:rPr>
              <w:rFonts w:ascii="Cambria Math" w:hAnsi="Cambria Math"/>
              <w:sz w:val="22"/>
              <w:szCs w:val="22"/>
              <w:lang w:val="x-none"/>
            </w:rPr>
            <m:t>=</m:t>
          </m:r>
          <m:r>
            <w:rPr>
              <w:rFonts w:ascii="Cambria Math" w:hAnsi="Cambria Math"/>
              <w:sz w:val="22"/>
              <w:szCs w:val="22"/>
              <w:lang w:val="x-none"/>
            </w:rPr>
            <m:t xml:space="preserve">goSB </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b</m:t>
              </m:r>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w:rPr>
              <w:rFonts w:ascii="Cambria Math" w:hAnsi="Cambria Math"/>
              <w:sz w:val="22"/>
              <w:szCs w:val="22"/>
              <w:lang w:val="x-none"/>
            </w:rPr>
            <m:t>+B</m:t>
          </m:r>
          <m:d>
            <m:dPr>
              <m:ctrlPr>
                <w:rPr>
                  <w:rFonts w:ascii="Cambria Math" w:hAnsi="Cambria Math"/>
                  <w:i/>
                  <w:sz w:val="22"/>
                  <w:szCs w:val="22"/>
                  <w:lang w:val="x-none"/>
                </w:rPr>
              </m:ctrlPr>
            </m:dPr>
            <m:e>
              <m:r>
                <w:rPr>
                  <w:rFonts w:ascii="Cambria Math" w:hAnsi="Cambria Math"/>
                  <w:sz w:val="22"/>
                  <w:szCs w:val="22"/>
                  <w:lang w:val="x-none"/>
                </w:rPr>
                <m:t>t</m:t>
              </m:r>
            </m:e>
          </m:d>
          <m:r>
            <w:rPr>
              <w:rFonts w:ascii="Cambria Math" w:hAnsi="Cambria Math"/>
              <w:sz w:val="22"/>
              <w:szCs w:val="22"/>
              <w:lang w:val="x-none"/>
            </w:rPr>
            <m:t xml:space="preserve"> staySB                                                     </m:t>
          </m:r>
          <m:r>
            <m:rPr>
              <m:sty m:val="b"/>
            </m:rPr>
            <w:rPr>
              <w:rFonts w:ascii="Cambria Math" w:hAnsi="Cambria Math"/>
              <w:sz w:val="22"/>
              <w:szCs w:val="22"/>
              <w:lang w:val="x-none"/>
            </w:rPr>
            <m:t>eqn 2</m:t>
          </m:r>
        </m:oMath>
      </m:oMathPara>
    </w:p>
    <w:p w14:paraId="22AC5DCD" w14:textId="202A2DF2" w:rsidR="0096311C" w:rsidRDefault="00D814D2" w:rsidP="00EE7026">
      <w:pPr>
        <w:pStyle w:val="NormalWeb"/>
        <w:spacing w:line="480" w:lineRule="auto"/>
        <w:contextualSpacing/>
        <w:rPr>
          <w:color w:val="000000" w:themeColor="text1"/>
        </w:rPr>
      </w:pPr>
      <w:r>
        <w:rPr>
          <w:color w:val="000000" w:themeColor="text1"/>
        </w:rPr>
        <w:t>w</w:t>
      </w:r>
      <w:r w:rsidR="00E32A82">
        <w:rPr>
          <w:color w:val="000000" w:themeColor="text1"/>
        </w:rPr>
        <w:t xml:space="preserve">here </w:t>
      </w:r>
      <w:r w:rsidR="00E32A82" w:rsidRPr="00E32A82">
        <w:rPr>
          <w:i/>
          <w:iCs/>
          <w:color w:val="000000" w:themeColor="text1"/>
        </w:rPr>
        <w:t>z</w:t>
      </w:r>
      <w:r w:rsidR="00E32A82">
        <w:rPr>
          <w:color w:val="000000" w:themeColor="text1"/>
        </w:rPr>
        <w:t xml:space="preserve"> is the distribution of plant size in </w:t>
      </w:r>
      <w:r w:rsidR="00611868">
        <w:rPr>
          <w:color w:val="000000" w:themeColor="text1"/>
        </w:rPr>
        <w:t>the current year (“</w:t>
      </w:r>
      <w:proofErr w:type="spellStart"/>
      <w:r w:rsidR="000F54B4">
        <w:rPr>
          <w:color w:val="000000" w:themeColor="text1"/>
        </w:rPr>
        <w:t>size</w:t>
      </w:r>
      <w:r w:rsidR="000F54B4">
        <w:rPr>
          <w:i/>
          <w:iCs/>
          <w:color w:val="000000" w:themeColor="text1"/>
          <w:vertAlign w:val="subscript"/>
        </w:rPr>
        <w:t>t</w:t>
      </w:r>
      <w:proofErr w:type="spellEnd"/>
      <w:r w:rsidR="00611868">
        <w:rPr>
          <w:color w:val="000000" w:themeColor="text1"/>
        </w:rPr>
        <w:t>”)</w:t>
      </w:r>
      <w:r w:rsidR="00E32A82">
        <w:rPr>
          <w:color w:val="000000" w:themeColor="text1"/>
        </w:rPr>
        <w:t xml:space="preserve">, </w:t>
      </w:r>
      <w:r w:rsidR="00E32A82" w:rsidRPr="00E32A82">
        <w:rPr>
          <w:i/>
          <w:iCs/>
          <w:color w:val="000000" w:themeColor="text1"/>
        </w:rPr>
        <w:t>z’</w:t>
      </w:r>
      <w:r w:rsidR="00E32A82">
        <w:rPr>
          <w:color w:val="000000" w:themeColor="text1"/>
        </w:rPr>
        <w:t xml:space="preserve"> is th</w:t>
      </w:r>
      <w:r>
        <w:rPr>
          <w:color w:val="000000" w:themeColor="text1"/>
        </w:rPr>
        <w:t>e</w:t>
      </w:r>
      <w:r w:rsidR="00E32A82">
        <w:rPr>
          <w:color w:val="000000" w:themeColor="text1"/>
        </w:rPr>
        <w:t xml:space="preserve"> distribution of plant size in</w:t>
      </w:r>
      <w:r w:rsidR="000F54B4">
        <w:rPr>
          <w:color w:val="000000" w:themeColor="text1"/>
        </w:rPr>
        <w:t xml:space="preserve"> the next year (“size</w:t>
      </w:r>
      <w:r w:rsidR="000F54B4">
        <w:rPr>
          <w:i/>
          <w:iCs/>
          <w:color w:val="000000" w:themeColor="text1"/>
          <w:vertAlign w:val="subscript"/>
        </w:rPr>
        <w:t>t</w:t>
      </w:r>
      <w:r w:rsidR="000F54B4">
        <w:rPr>
          <w:color w:val="000000" w:themeColor="text1"/>
          <w:vertAlign w:val="subscript"/>
        </w:rPr>
        <w:t>+1</w:t>
      </w:r>
      <w:r w:rsidR="000F54B4">
        <w:rPr>
          <w:color w:val="000000" w:themeColor="text1"/>
        </w:rPr>
        <w:t>”)</w:t>
      </w:r>
      <w:r w:rsidR="00E32A82">
        <w:rPr>
          <w:color w:val="000000" w:themeColor="text1"/>
        </w:rPr>
        <w:t xml:space="preserve">, </w:t>
      </w:r>
      <w:r>
        <w:rPr>
          <w:color w:val="000000" w:themeColor="text1"/>
        </w:rPr>
        <w:t xml:space="preserve">and </w:t>
      </w:r>
      <w:r w:rsidRPr="00D814D2">
        <w:rPr>
          <w:i/>
          <w:iCs/>
          <w:color w:val="000000" w:themeColor="text1"/>
        </w:rPr>
        <w:t>U</w:t>
      </w:r>
      <w:r>
        <w:rPr>
          <w:color w:val="000000" w:themeColor="text1"/>
        </w:rPr>
        <w:t xml:space="preserve"> and </w:t>
      </w:r>
      <w:r w:rsidRPr="00D814D2">
        <w:rPr>
          <w:i/>
          <w:iCs/>
          <w:color w:val="000000" w:themeColor="text1"/>
        </w:rPr>
        <w:t>L</w:t>
      </w:r>
      <w:r>
        <w:rPr>
          <w:color w:val="000000" w:themeColor="text1"/>
        </w:rPr>
        <w:t xml:space="preserve"> are the upper and lower boundaries of plant size. </w:t>
      </w:r>
      <w:r w:rsidR="00F96C74" w:rsidRPr="00D814D2">
        <w:rPr>
          <w:i/>
          <w:iCs/>
          <w:color w:val="000000" w:themeColor="text1"/>
        </w:rPr>
        <w:t>G</w:t>
      </w:r>
      <w:r w:rsidR="00F96C74" w:rsidRPr="00D814D2">
        <w:rPr>
          <w:color w:val="000000" w:themeColor="text1"/>
        </w:rPr>
        <w:t>(</w:t>
      </w:r>
      <w:r w:rsidR="00F96C74" w:rsidRPr="00D814D2">
        <w:rPr>
          <w:i/>
          <w:iCs/>
          <w:color w:val="000000" w:themeColor="text1"/>
        </w:rPr>
        <w:t>z’, z</w:t>
      </w:r>
      <w:r w:rsidR="00F96C74" w:rsidRPr="00D814D2">
        <w:rPr>
          <w:color w:val="000000" w:themeColor="text1"/>
        </w:rPr>
        <w:t>)</w:t>
      </w:r>
      <w:r w:rsidR="00F96C74">
        <w:rPr>
          <w:color w:val="000000" w:themeColor="text1"/>
        </w:rPr>
        <w:t xml:space="preserve"> is the vital rate function describing </w:t>
      </w:r>
      <w:r w:rsidR="000F54B4">
        <w:rPr>
          <w:color w:val="000000" w:themeColor="text1"/>
        </w:rPr>
        <w:t>size</w:t>
      </w:r>
      <w:r w:rsidR="000F54B4">
        <w:rPr>
          <w:i/>
          <w:iCs/>
          <w:color w:val="000000" w:themeColor="text1"/>
          <w:vertAlign w:val="subscript"/>
        </w:rPr>
        <w:t>t</w:t>
      </w:r>
      <w:r w:rsidR="000F54B4">
        <w:rPr>
          <w:color w:val="000000" w:themeColor="text1"/>
          <w:vertAlign w:val="subscript"/>
        </w:rPr>
        <w:t xml:space="preserve">+1 </w:t>
      </w:r>
      <w:r w:rsidR="00F96C74">
        <w:rPr>
          <w:color w:val="000000" w:themeColor="text1"/>
        </w:rPr>
        <w:t xml:space="preserve">as a function of </w:t>
      </w:r>
      <w:proofErr w:type="spellStart"/>
      <w:r w:rsidR="000F54B4">
        <w:rPr>
          <w:color w:val="000000" w:themeColor="text1"/>
        </w:rPr>
        <w:t>size</w:t>
      </w:r>
      <w:r w:rsidR="000F54B4">
        <w:rPr>
          <w:i/>
          <w:iCs/>
          <w:color w:val="000000" w:themeColor="text1"/>
          <w:vertAlign w:val="subscript"/>
        </w:rPr>
        <w:t>t</w:t>
      </w:r>
      <w:proofErr w:type="spellEnd"/>
      <w:r w:rsidR="00F96C74">
        <w:rPr>
          <w:color w:val="000000" w:themeColor="text1"/>
        </w:rPr>
        <w:t xml:space="preserve">. </w:t>
      </w:r>
      <w:r>
        <w:rPr>
          <w:color w:val="000000" w:themeColor="text1"/>
        </w:rPr>
        <w:t xml:space="preserve">The vital rate functions </w:t>
      </w:r>
      <w:r w:rsidR="00E32A82" w:rsidRPr="00D814D2">
        <w:rPr>
          <w:i/>
          <w:iCs/>
          <w:color w:val="000000" w:themeColor="text1"/>
        </w:rPr>
        <w:t>s</w:t>
      </w:r>
      <w:r w:rsidR="00E32A82" w:rsidRPr="00D814D2">
        <w:rPr>
          <w:color w:val="000000" w:themeColor="text1"/>
        </w:rPr>
        <w:t>(</w:t>
      </w:r>
      <w:r w:rsidR="00E32A82" w:rsidRPr="00D814D2">
        <w:rPr>
          <w:i/>
          <w:iCs/>
          <w:color w:val="000000" w:themeColor="text1"/>
        </w:rPr>
        <w:t>z</w:t>
      </w:r>
      <w:r w:rsidR="00E32A82" w:rsidRPr="00D814D2">
        <w:rPr>
          <w:color w:val="000000" w:themeColor="text1"/>
        </w:rPr>
        <w:t>),</w:t>
      </w:r>
      <w:r w:rsidR="00E32A82">
        <w:rPr>
          <w:color w:val="000000" w:themeColor="text1"/>
        </w:rPr>
        <w:t xml:space="preserve"> </w:t>
      </w:r>
      <w:r w:rsidR="00E32A82" w:rsidRPr="00D814D2">
        <w:rPr>
          <w:i/>
          <w:iCs/>
          <w:color w:val="000000" w:themeColor="text1"/>
        </w:rPr>
        <w:t>P</w:t>
      </w:r>
      <w:r w:rsidR="00E32A82" w:rsidRPr="00D814D2">
        <w:rPr>
          <w:i/>
          <w:iCs/>
          <w:color w:val="000000" w:themeColor="text1"/>
          <w:vertAlign w:val="subscript"/>
        </w:rPr>
        <w:t>b</w:t>
      </w:r>
      <w:r w:rsidR="00E32A82">
        <w:rPr>
          <w:color w:val="000000" w:themeColor="text1"/>
        </w:rPr>
        <w:t>(</w:t>
      </w:r>
      <w:r w:rsidR="00E32A82" w:rsidRPr="00D814D2">
        <w:rPr>
          <w:i/>
          <w:iCs/>
          <w:color w:val="000000" w:themeColor="text1"/>
        </w:rPr>
        <w:t>z</w:t>
      </w:r>
      <w:r w:rsidR="00E32A82">
        <w:rPr>
          <w:color w:val="000000" w:themeColor="text1"/>
        </w:rPr>
        <w:t>)</w:t>
      </w:r>
      <w:r>
        <w:rPr>
          <w:color w:val="000000" w:themeColor="text1"/>
        </w:rPr>
        <w:t xml:space="preserve">, and </w:t>
      </w:r>
      <w:r w:rsidRPr="00D814D2">
        <w:rPr>
          <w:i/>
          <w:iCs/>
          <w:color w:val="000000" w:themeColor="text1"/>
        </w:rPr>
        <w:t>b</w:t>
      </w:r>
      <w:r>
        <w:rPr>
          <w:color w:val="000000" w:themeColor="text1"/>
        </w:rPr>
        <w:t>(</w:t>
      </w:r>
      <w:r w:rsidRPr="00D814D2">
        <w:rPr>
          <w:i/>
          <w:iCs/>
          <w:color w:val="000000" w:themeColor="text1"/>
        </w:rPr>
        <w:t>z</w:t>
      </w:r>
      <w:r>
        <w:rPr>
          <w:color w:val="000000" w:themeColor="text1"/>
        </w:rPr>
        <w:t xml:space="preserve">) </w:t>
      </w:r>
      <w:r w:rsidR="00E60A49">
        <w:rPr>
          <w:color w:val="000000" w:themeColor="text1"/>
        </w:rPr>
        <w:t xml:space="preserve">describe the relationship between </w:t>
      </w:r>
      <w:proofErr w:type="spellStart"/>
      <w:r w:rsidR="000F54B4">
        <w:rPr>
          <w:color w:val="000000" w:themeColor="text1"/>
        </w:rPr>
        <w:t>size</w:t>
      </w:r>
      <w:r w:rsidR="000F54B4">
        <w:rPr>
          <w:i/>
          <w:iCs/>
          <w:color w:val="000000" w:themeColor="text1"/>
          <w:vertAlign w:val="subscript"/>
        </w:rPr>
        <w:t>t</w:t>
      </w:r>
      <w:proofErr w:type="spellEnd"/>
      <w:r w:rsidR="00E60A49">
        <w:rPr>
          <w:color w:val="000000" w:themeColor="text1"/>
        </w:rPr>
        <w:t xml:space="preserve"> and survival probability</w:t>
      </w:r>
      <w:r w:rsidR="0089449A">
        <w:rPr>
          <w:color w:val="000000" w:themeColor="text1"/>
        </w:rPr>
        <w:t xml:space="preserve"> of non-flowering plants</w:t>
      </w:r>
      <w:r w:rsidR="00E60A49">
        <w:rPr>
          <w:color w:val="000000" w:themeColor="text1"/>
        </w:rPr>
        <w:t>, flowering probability, and seed production</w:t>
      </w:r>
      <w:r w:rsidR="0089449A">
        <w:rPr>
          <w:color w:val="000000" w:themeColor="text1"/>
        </w:rPr>
        <w:t xml:space="preserve"> of flowering plants</w:t>
      </w:r>
      <w:r w:rsidR="00E60A49">
        <w:rPr>
          <w:color w:val="000000" w:themeColor="text1"/>
        </w:rPr>
        <w:t xml:space="preserve">.  </w:t>
      </w:r>
      <w:r>
        <w:rPr>
          <w:i/>
          <w:iCs/>
          <w:color w:val="000000" w:themeColor="text1"/>
        </w:rPr>
        <w:t>c</w:t>
      </w:r>
      <w:r>
        <w:rPr>
          <w:i/>
          <w:iCs/>
          <w:color w:val="000000" w:themeColor="text1"/>
          <w:vertAlign w:val="subscript"/>
        </w:rPr>
        <w:t>o</w:t>
      </w:r>
      <w:r>
        <w:rPr>
          <w:color w:val="000000" w:themeColor="text1"/>
        </w:rPr>
        <w:t>(</w:t>
      </w:r>
      <w:r>
        <w:rPr>
          <w:i/>
          <w:iCs/>
          <w:color w:val="000000" w:themeColor="text1"/>
        </w:rPr>
        <w:t>z’</w:t>
      </w:r>
      <w:r>
        <w:rPr>
          <w:color w:val="000000" w:themeColor="text1"/>
        </w:rPr>
        <w:t xml:space="preserve">) is the distribution of </w:t>
      </w:r>
      <w:r w:rsidR="0096311C">
        <w:rPr>
          <w:color w:val="000000" w:themeColor="text1"/>
        </w:rPr>
        <w:t xml:space="preserve">above-ground </w:t>
      </w:r>
      <w:r>
        <w:rPr>
          <w:color w:val="000000" w:themeColor="text1"/>
        </w:rPr>
        <w:t xml:space="preserve">recruit </w:t>
      </w:r>
      <w:r w:rsidR="000F54B4">
        <w:rPr>
          <w:color w:val="000000" w:themeColor="text1"/>
        </w:rPr>
        <w:t>size</w:t>
      </w:r>
      <w:r w:rsidR="000F54B4">
        <w:rPr>
          <w:i/>
          <w:iCs/>
          <w:color w:val="000000" w:themeColor="text1"/>
          <w:vertAlign w:val="subscript"/>
        </w:rPr>
        <w:t>t</w:t>
      </w:r>
      <w:r w:rsidR="000F54B4">
        <w:rPr>
          <w:color w:val="000000" w:themeColor="text1"/>
          <w:vertAlign w:val="subscript"/>
        </w:rPr>
        <w:t>+1</w:t>
      </w:r>
      <w:r>
        <w:rPr>
          <w:color w:val="000000" w:themeColor="text1"/>
        </w:rPr>
        <w:t>.</w:t>
      </w:r>
      <w:r w:rsidR="00363F28">
        <w:rPr>
          <w:color w:val="000000" w:themeColor="text1"/>
        </w:rPr>
        <w:t xml:space="preserve"> </w:t>
      </w:r>
      <w:proofErr w:type="spellStart"/>
      <w:r w:rsidR="00363F28">
        <w:rPr>
          <w:i/>
          <w:iCs/>
          <w:color w:val="000000" w:themeColor="text1"/>
        </w:rPr>
        <w:t>goCont</w:t>
      </w:r>
      <w:proofErr w:type="spellEnd"/>
      <w:r w:rsidR="00363F28">
        <w:rPr>
          <w:color w:val="000000" w:themeColor="text1"/>
        </w:rPr>
        <w:t xml:space="preserve">, </w:t>
      </w:r>
      <w:proofErr w:type="spellStart"/>
      <w:r w:rsidR="00363F28" w:rsidRPr="00363F28">
        <w:rPr>
          <w:i/>
          <w:iCs/>
          <w:color w:val="000000" w:themeColor="text1"/>
        </w:rPr>
        <w:t>outSB</w:t>
      </w:r>
      <w:proofErr w:type="spellEnd"/>
      <w:r w:rsidR="00363F28">
        <w:rPr>
          <w:color w:val="000000" w:themeColor="text1"/>
        </w:rPr>
        <w:t xml:space="preserve">, </w:t>
      </w:r>
      <w:proofErr w:type="spellStart"/>
      <w:r w:rsidR="00363F28" w:rsidRPr="00363F28">
        <w:rPr>
          <w:i/>
          <w:iCs/>
          <w:color w:val="000000" w:themeColor="text1"/>
        </w:rPr>
        <w:t>goSB</w:t>
      </w:r>
      <w:proofErr w:type="spellEnd"/>
      <w:r w:rsidR="00363F28">
        <w:rPr>
          <w:color w:val="000000" w:themeColor="text1"/>
        </w:rPr>
        <w:t>, and</w:t>
      </w:r>
      <w:r w:rsidR="00363F28" w:rsidRPr="00363F28">
        <w:rPr>
          <w:i/>
          <w:iCs/>
          <w:color w:val="000000" w:themeColor="text1"/>
        </w:rPr>
        <w:t xml:space="preserve"> </w:t>
      </w:r>
      <w:proofErr w:type="spellStart"/>
      <w:r w:rsidR="00363F28" w:rsidRPr="00363F28">
        <w:rPr>
          <w:i/>
          <w:iCs/>
          <w:color w:val="000000" w:themeColor="text1"/>
        </w:rPr>
        <w:t>staySB</w:t>
      </w:r>
      <w:proofErr w:type="spellEnd"/>
      <w:r w:rsidR="00363F28">
        <w:rPr>
          <w:color w:val="000000" w:themeColor="text1"/>
        </w:rPr>
        <w:t xml:space="preserve"> are discrete parameters indicating the probability of a seed produced in year </w:t>
      </w:r>
      <w:r w:rsidR="00363F28">
        <w:rPr>
          <w:i/>
          <w:iCs/>
          <w:color w:val="000000" w:themeColor="text1"/>
        </w:rPr>
        <w:t>t</w:t>
      </w:r>
      <w:r w:rsidR="00363F28">
        <w:rPr>
          <w:color w:val="000000" w:themeColor="text1"/>
        </w:rPr>
        <w:t xml:space="preserve"> germinating as a seedling in year </w:t>
      </w:r>
      <w:r w:rsidR="00363F28">
        <w:rPr>
          <w:i/>
          <w:iCs/>
          <w:color w:val="000000" w:themeColor="text1"/>
        </w:rPr>
        <w:t>t</w:t>
      </w:r>
      <w:r w:rsidR="00363F28">
        <w:rPr>
          <w:color w:val="000000" w:themeColor="text1"/>
        </w:rPr>
        <w:t xml:space="preserve">+1, a seed from the seedbank in year </w:t>
      </w:r>
      <w:r w:rsidR="00363F28">
        <w:rPr>
          <w:i/>
          <w:iCs/>
          <w:color w:val="000000" w:themeColor="text1"/>
        </w:rPr>
        <w:t>t</w:t>
      </w:r>
      <w:r w:rsidR="00363F28">
        <w:rPr>
          <w:color w:val="000000" w:themeColor="text1"/>
        </w:rPr>
        <w:t xml:space="preserve"> germinating as a seedling in year </w:t>
      </w:r>
      <w:r w:rsidR="00363F28">
        <w:rPr>
          <w:i/>
          <w:iCs/>
          <w:color w:val="000000" w:themeColor="text1"/>
        </w:rPr>
        <w:t>t</w:t>
      </w:r>
      <w:r w:rsidR="00363F28">
        <w:rPr>
          <w:color w:val="000000" w:themeColor="text1"/>
        </w:rPr>
        <w:t xml:space="preserve">+1, a seed produced in year </w:t>
      </w:r>
      <w:r w:rsidR="00363F28">
        <w:rPr>
          <w:i/>
          <w:iCs/>
          <w:color w:val="000000" w:themeColor="text1"/>
        </w:rPr>
        <w:t>t</w:t>
      </w:r>
      <w:r w:rsidR="00363F28">
        <w:rPr>
          <w:color w:val="000000" w:themeColor="text1"/>
        </w:rPr>
        <w:t xml:space="preserve"> going into the seedbank in year </w:t>
      </w:r>
      <w:r w:rsidR="00363F28">
        <w:rPr>
          <w:i/>
          <w:iCs/>
          <w:color w:val="000000" w:themeColor="text1"/>
        </w:rPr>
        <w:t>t</w:t>
      </w:r>
      <w:r w:rsidR="00363F28">
        <w:rPr>
          <w:color w:val="000000" w:themeColor="text1"/>
        </w:rPr>
        <w:t xml:space="preserve">+1, and </w:t>
      </w:r>
      <w:r w:rsidR="002D2306">
        <w:rPr>
          <w:color w:val="000000" w:themeColor="text1"/>
        </w:rPr>
        <w:t xml:space="preserve">a seed </w:t>
      </w:r>
      <w:r w:rsidR="00635B3B">
        <w:rPr>
          <w:color w:val="000000" w:themeColor="text1"/>
        </w:rPr>
        <w:t>from the seedbank in</w:t>
      </w:r>
      <w:r w:rsidR="002D2306">
        <w:rPr>
          <w:color w:val="000000" w:themeColor="text1"/>
        </w:rPr>
        <w:t xml:space="preserve"> year </w:t>
      </w:r>
      <w:r w:rsidR="002D2306">
        <w:rPr>
          <w:i/>
          <w:iCs/>
          <w:color w:val="000000" w:themeColor="text1"/>
        </w:rPr>
        <w:t>t</w:t>
      </w:r>
      <w:r w:rsidR="00635B3B">
        <w:rPr>
          <w:color w:val="000000" w:themeColor="text1"/>
        </w:rPr>
        <w:t xml:space="preserve"> persisting in the seedbank</w:t>
      </w:r>
      <w:r w:rsidR="002D2306">
        <w:rPr>
          <w:color w:val="000000" w:themeColor="text1"/>
        </w:rPr>
        <w:t xml:space="preserve"> in year </w:t>
      </w:r>
      <w:r w:rsidR="002D2306">
        <w:rPr>
          <w:i/>
          <w:iCs/>
          <w:color w:val="000000" w:themeColor="text1"/>
        </w:rPr>
        <w:t>t</w:t>
      </w:r>
      <w:r w:rsidR="002D2306">
        <w:rPr>
          <w:color w:val="000000" w:themeColor="text1"/>
        </w:rPr>
        <w:t>+1</w:t>
      </w:r>
      <w:r w:rsidR="0096311C">
        <w:rPr>
          <w:color w:val="000000" w:themeColor="text1"/>
        </w:rPr>
        <w:t xml:space="preserve"> </w:t>
      </w:r>
      <w:r w:rsidR="0096311C">
        <w:rPr>
          <w:color w:val="000000" w:themeColor="text1"/>
        </w:rPr>
        <w:fldChar w:fldCharType="begin" w:fldLock="1"/>
      </w:r>
      <w:r w:rsidR="00143F37">
        <w:rPr>
          <w:color w:val="000000" w:themeColor="text1"/>
        </w:rPr>
        <w:instrText>ADDIN CSL_CITATION {"citationItems":[{"id":"ITEM-1","itemData":{"DOI":"10.1111/oik.03696","ISBN":"1600-0706","ISSN":"16000706","abstract":"Dormant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-1","issue":"6","issued":{"date-parts":[["2017"]]},"page":"900-909","title":"Accounting for uncertainty in dormant life stages in stochastic demographic models","type":"article-journal","volume":"126"},"uris":["http://www.mendeley.com/documents/?uuid=43ed3b29-94b8-4286-8d6a-e2b7763b671f"]}],"mendeley":{"formattedCitation":"(Paniw et al. 2017)","plainTextFormattedCitation":"(Paniw et al. 2017)","previouslyFormattedCitation":"(Paniw et al. 2017)"},"properties":{"noteIndex":0},"schema":"https://github.com/citation-style-language/schema/raw/master/csl-citation.json"}</w:instrText>
      </w:r>
      <w:r w:rsidR="0096311C">
        <w:rPr>
          <w:color w:val="000000" w:themeColor="text1"/>
        </w:rPr>
        <w:fldChar w:fldCharType="separate"/>
      </w:r>
      <w:r w:rsidR="0002340D" w:rsidRPr="0002340D">
        <w:rPr>
          <w:noProof/>
          <w:color w:val="000000" w:themeColor="text1"/>
        </w:rPr>
        <w:t>(Paniw et al. 2017)</w:t>
      </w:r>
      <w:r w:rsidR="0096311C">
        <w:rPr>
          <w:color w:val="000000" w:themeColor="text1"/>
        </w:rPr>
        <w:fldChar w:fldCharType="end"/>
      </w:r>
      <w:r w:rsidR="00EE7026">
        <w:rPr>
          <w:color w:val="000000" w:themeColor="text1"/>
        </w:rPr>
        <w:t xml:space="preserve"> (Table 2)</w:t>
      </w:r>
      <w:r w:rsidR="00635B3B">
        <w:rPr>
          <w:color w:val="000000" w:themeColor="text1"/>
        </w:rPr>
        <w:t>.</w:t>
      </w:r>
      <w:r w:rsidR="000B6EDB">
        <w:rPr>
          <w:color w:val="000000" w:themeColor="text1"/>
        </w:rPr>
        <w:t xml:space="preserve"> </w:t>
      </w:r>
    </w:p>
    <w:p w14:paraId="098A6CC0" w14:textId="2AF83BE4" w:rsidR="00E83D4F" w:rsidRDefault="00DD3B32" w:rsidP="00E83D4F">
      <w:pPr>
        <w:pStyle w:val="NormalWeb"/>
        <w:spacing w:line="480" w:lineRule="auto"/>
        <w:ind w:firstLine="360"/>
        <w:rPr>
          <w:color w:val="000000" w:themeColor="text1"/>
        </w:rPr>
      </w:pPr>
      <w:r>
        <w:rPr>
          <w:color w:val="000000" w:themeColor="text1"/>
        </w:rPr>
        <w:t>We used data from the three-year demographic monitoring study to parameterize the vital rate</w:t>
      </w:r>
      <w:r w:rsidR="002049F4">
        <w:rPr>
          <w:color w:val="000000" w:themeColor="text1"/>
        </w:rPr>
        <w:t xml:space="preserve">s </w:t>
      </w:r>
      <w:r>
        <w:rPr>
          <w:color w:val="000000" w:themeColor="text1"/>
        </w:rPr>
        <w:t xml:space="preserve">used in the IPMs. </w:t>
      </w:r>
      <w:r w:rsidR="00E83D4F">
        <w:rPr>
          <w:color w:val="000000" w:themeColor="text1"/>
        </w:rPr>
        <w:t xml:space="preserve">Vital rate functions for the continuous, size-based above-ground stage were parameterized using data from “mature plants” as well as seedlings. Although seedlings (above-ground plants &lt; 3 cm in leaf length) were only tallied in each quadrat and year instead of tagged and measured, we incorporated them into the dataset for continuous, above-ground plants by assigning them a random size drawn from a continuous, uniform probability distribution (seedling size ~ </w:t>
      </w:r>
      <w:r w:rsidR="00E83D4F" w:rsidRPr="00871D3F">
        <w:rPr>
          <w:i/>
          <w:iCs/>
          <w:color w:val="000000" w:themeColor="text1"/>
        </w:rPr>
        <w:t>U</w:t>
      </w:r>
      <w:r w:rsidR="00E83D4F">
        <w:rPr>
          <w:color w:val="000000" w:themeColor="text1"/>
        </w:rPr>
        <w:t xml:space="preserve">(0.1, 3)). Each new recruit to the &gt; 3 cm stage in year </w:t>
      </w:r>
      <w:r w:rsidR="00E83D4F">
        <w:rPr>
          <w:i/>
          <w:iCs/>
          <w:color w:val="000000" w:themeColor="text1"/>
        </w:rPr>
        <w:t>t</w:t>
      </w:r>
      <w:r w:rsidR="00E83D4F">
        <w:rPr>
          <w:color w:val="000000" w:themeColor="text1"/>
        </w:rPr>
        <w:t xml:space="preserve">+1 was randomly assigned to a seedling in year </w:t>
      </w:r>
      <w:r w:rsidR="00E83D4F">
        <w:rPr>
          <w:i/>
          <w:iCs/>
          <w:color w:val="000000" w:themeColor="text1"/>
        </w:rPr>
        <w:t>t</w:t>
      </w:r>
      <w:r w:rsidR="00E83D4F">
        <w:rPr>
          <w:color w:val="000000" w:themeColor="text1"/>
        </w:rPr>
        <w:t xml:space="preserve">. Seedlings in year </w:t>
      </w:r>
      <w:r w:rsidR="00E83D4F">
        <w:rPr>
          <w:i/>
          <w:iCs/>
          <w:color w:val="000000" w:themeColor="text1"/>
        </w:rPr>
        <w:t>t</w:t>
      </w:r>
      <w:r w:rsidR="00E83D4F">
        <w:rPr>
          <w:color w:val="000000" w:themeColor="text1"/>
        </w:rPr>
        <w:t xml:space="preserve"> that were assigned a recruit in year </w:t>
      </w:r>
      <w:r w:rsidR="00E83D4F">
        <w:rPr>
          <w:i/>
          <w:iCs/>
          <w:color w:val="000000" w:themeColor="text1"/>
        </w:rPr>
        <w:t>t</w:t>
      </w:r>
      <w:r w:rsidR="00E83D4F">
        <w:rPr>
          <w:color w:val="000000" w:themeColor="text1"/>
        </w:rPr>
        <w:t xml:space="preserve">+1 survived, while those without an assigned recruit died. Incorporating seedlings into the continuous dataset in this fashion allowed us to create IPMs using only one discrete stage. </w:t>
      </w:r>
    </w:p>
    <w:p w14:paraId="6654EA9B" w14:textId="4039EF75" w:rsidR="00611868" w:rsidRPr="00CB5783" w:rsidRDefault="00611868" w:rsidP="0032637B">
      <w:pPr>
        <w:pStyle w:val="NormalWeb"/>
        <w:spacing w:line="480" w:lineRule="auto"/>
        <w:ind w:firstLine="360"/>
        <w:rPr>
          <w:color w:val="7030A0"/>
        </w:rPr>
      </w:pPr>
      <w:r w:rsidRPr="002049F4">
        <w:rPr>
          <w:color w:val="7030A0"/>
        </w:rPr>
        <w:t xml:space="preserve">We </w:t>
      </w:r>
      <w:r>
        <w:rPr>
          <w:color w:val="7030A0"/>
        </w:rPr>
        <w:t xml:space="preserve">used data from the demographic study to </w:t>
      </w:r>
      <w:r w:rsidRPr="002049F4">
        <w:rPr>
          <w:color w:val="7030A0"/>
        </w:rPr>
        <w:t>estimate continuous vital rate functions</w:t>
      </w:r>
      <w:r>
        <w:rPr>
          <w:color w:val="7030A0"/>
        </w:rPr>
        <w:t xml:space="preserve"> describing survival, growth, probability of flowering, seed production, and recruit size. For each of these vital rates, we fit subpopulation-level models as well as models using data across all sites. We additionally fit models with and without density dependence,</w:t>
      </w:r>
      <w:r w:rsidR="00F5682B">
        <w:rPr>
          <w:color w:val="7030A0"/>
        </w:rPr>
        <w:t xml:space="preserve"> </w:t>
      </w:r>
      <w:r>
        <w:rPr>
          <w:color w:val="7030A0"/>
        </w:rPr>
        <w:t>with and without environmental covariates</w:t>
      </w:r>
      <w:r w:rsidR="00F5682B">
        <w:rPr>
          <w:color w:val="7030A0"/>
        </w:rPr>
        <w:t>, and using data either from all years or from each unique annual transition</w:t>
      </w:r>
      <w:r>
        <w:rPr>
          <w:color w:val="7030A0"/>
        </w:rPr>
        <w:t>. The basic model structure was the same for each vital rate (Table 2). Additional covariates indicating population size and environmental conditions were added to these basic models. We modeled survival probability</w:t>
      </w:r>
      <w:r w:rsidR="000F54B4">
        <w:rPr>
          <w:color w:val="7030A0"/>
        </w:rPr>
        <w:t xml:space="preserve"> (</w:t>
      </w:r>
      <w:r w:rsidR="000F54B4">
        <w:rPr>
          <w:i/>
          <w:iCs/>
          <w:color w:val="7030A0"/>
        </w:rPr>
        <w:t>s(z)</w:t>
      </w:r>
      <w:r w:rsidR="000F54B4">
        <w:rPr>
          <w:color w:val="7030A0"/>
        </w:rPr>
        <w:t>)</w:t>
      </w:r>
      <w:r>
        <w:rPr>
          <w:color w:val="7030A0"/>
        </w:rPr>
        <w:t xml:space="preserve"> as a function of log-transformed leaf </w:t>
      </w:r>
      <w:proofErr w:type="spellStart"/>
      <w:r>
        <w:rPr>
          <w:color w:val="7030A0"/>
        </w:rPr>
        <w:t>size</w:t>
      </w:r>
      <w:r>
        <w:rPr>
          <w:i/>
          <w:iCs/>
          <w:color w:val="7030A0"/>
          <w:vertAlign w:val="subscript"/>
        </w:rPr>
        <w:t>t</w:t>
      </w:r>
      <w:proofErr w:type="spellEnd"/>
      <w:r>
        <w:rPr>
          <w:i/>
          <w:iCs/>
          <w:color w:val="7030A0"/>
        </w:rPr>
        <w:t xml:space="preserve"> </w:t>
      </w:r>
      <w:r>
        <w:rPr>
          <w:color w:val="7030A0"/>
        </w:rPr>
        <w:t xml:space="preserve">using </w:t>
      </w:r>
      <w:r w:rsidR="000F54B4">
        <w:rPr>
          <w:color w:val="7030A0"/>
        </w:rPr>
        <w:t xml:space="preserve">generalized </w:t>
      </w:r>
      <w:r>
        <w:rPr>
          <w:color w:val="7030A0"/>
        </w:rPr>
        <w:t xml:space="preserve">linear models with binomial error distributions. Flowering individuals were excluded from the data used to fit survival models, since </w:t>
      </w:r>
      <w:r>
        <w:rPr>
          <w:i/>
          <w:iCs/>
          <w:color w:val="7030A0"/>
        </w:rPr>
        <w:t>O. coloradensis</w:t>
      </w:r>
      <w:r>
        <w:rPr>
          <w:color w:val="7030A0"/>
        </w:rPr>
        <w:t xml:space="preserve"> is a monocarpic perennial that nearly always dies after flowering. Probability of flowering </w:t>
      </w:r>
      <w:r w:rsidR="000F54B4">
        <w:rPr>
          <w:color w:val="7030A0"/>
        </w:rPr>
        <w:t>(</w:t>
      </w:r>
      <w:r w:rsidR="000F54B4">
        <w:rPr>
          <w:i/>
          <w:iCs/>
          <w:color w:val="7030A0"/>
        </w:rPr>
        <w:t xml:space="preserve">Pb(z)) </w:t>
      </w:r>
      <w:r>
        <w:rPr>
          <w:color w:val="7030A0"/>
        </w:rPr>
        <w:t>was also modeled using</w:t>
      </w:r>
      <w:r w:rsidR="000F54B4">
        <w:rPr>
          <w:color w:val="7030A0"/>
        </w:rPr>
        <w:t xml:space="preserve"> generalized</w:t>
      </w:r>
      <w:r>
        <w:rPr>
          <w:color w:val="7030A0"/>
        </w:rPr>
        <w:t xml:space="preserve"> linear </w:t>
      </w:r>
      <w:r w:rsidRPr="000F54B4">
        <w:rPr>
          <w:color w:val="7030A0"/>
        </w:rPr>
        <w:t xml:space="preserve">models with binomial error distributions, and was predicted by log-transformed leaf </w:t>
      </w:r>
      <w:proofErr w:type="spellStart"/>
      <w:r w:rsidRPr="000F54B4">
        <w:rPr>
          <w:color w:val="7030A0"/>
        </w:rPr>
        <w:t>size</w:t>
      </w:r>
      <w:r w:rsidRPr="000F54B4">
        <w:rPr>
          <w:i/>
          <w:iCs/>
          <w:color w:val="7030A0"/>
          <w:vertAlign w:val="subscript"/>
        </w:rPr>
        <w:t>t</w:t>
      </w:r>
      <w:proofErr w:type="spellEnd"/>
      <w:r w:rsidRPr="000F54B4">
        <w:rPr>
          <w:color w:val="7030A0"/>
        </w:rPr>
        <w:t xml:space="preserve"> plus log-transformed leaf </w:t>
      </w:r>
      <w:proofErr w:type="spellStart"/>
      <w:r w:rsidRPr="000F54B4">
        <w:rPr>
          <w:color w:val="7030A0"/>
        </w:rPr>
        <w:t>size</w:t>
      </w:r>
      <w:r w:rsidRPr="000F54B4">
        <w:rPr>
          <w:i/>
          <w:iCs/>
          <w:color w:val="7030A0"/>
          <w:vertAlign w:val="subscript"/>
        </w:rPr>
        <w:t>t</w:t>
      </w:r>
      <w:proofErr w:type="spellEnd"/>
      <w:r w:rsidRPr="000F54B4">
        <w:rPr>
          <w:i/>
          <w:iCs/>
          <w:color w:val="7030A0"/>
        </w:rPr>
        <w:t xml:space="preserve"> </w:t>
      </w:r>
      <w:r w:rsidRPr="000F54B4">
        <w:rPr>
          <w:color w:val="7030A0"/>
        </w:rPr>
        <w:t>squared.</w:t>
      </w:r>
      <w:r w:rsidR="000F54B4" w:rsidRPr="000F54B4">
        <w:rPr>
          <w:color w:val="7030A0"/>
        </w:rPr>
        <w:t xml:space="preserve"> We estimated seed production (</w:t>
      </w:r>
      <w:r w:rsidR="000F54B4" w:rsidRPr="000F54B4">
        <w:rPr>
          <w:i/>
          <w:iCs/>
          <w:color w:val="7030A0"/>
        </w:rPr>
        <w:t>b(z)</w:t>
      </w:r>
      <w:r w:rsidR="000F54B4" w:rsidRPr="000F54B4">
        <w:rPr>
          <w:color w:val="7030A0"/>
        </w:rPr>
        <w:t xml:space="preserve">) as a function of </w:t>
      </w:r>
      <w:proofErr w:type="spellStart"/>
      <w:r w:rsidR="000F54B4" w:rsidRPr="000F54B4">
        <w:rPr>
          <w:color w:val="7030A0"/>
        </w:rPr>
        <w:t>size</w:t>
      </w:r>
      <w:r w:rsidR="000F54B4" w:rsidRPr="000F54B4">
        <w:rPr>
          <w:i/>
          <w:iCs/>
          <w:color w:val="7030A0"/>
          <w:vertAlign w:val="subscript"/>
        </w:rPr>
        <w:t>t</w:t>
      </w:r>
      <w:proofErr w:type="spellEnd"/>
      <w:r w:rsidR="000F54B4">
        <w:rPr>
          <w:i/>
          <w:iCs/>
          <w:color w:val="7030A0"/>
          <w:vertAlign w:val="subscript"/>
        </w:rPr>
        <w:t xml:space="preserve"> </w:t>
      </w:r>
      <w:r w:rsidR="000F54B4">
        <w:rPr>
          <w:color w:val="7030A0"/>
        </w:rPr>
        <w:t>using negative binomial model</w:t>
      </w:r>
      <w:r w:rsidR="00D14E50">
        <w:rPr>
          <w:color w:val="7030A0"/>
        </w:rPr>
        <w:t xml:space="preserve">s, which are ideal for </w:t>
      </w:r>
      <w:proofErr w:type="spellStart"/>
      <w:r w:rsidR="00D14E50">
        <w:rPr>
          <w:color w:val="7030A0"/>
        </w:rPr>
        <w:t>overdispersed</w:t>
      </w:r>
      <w:proofErr w:type="spellEnd"/>
      <w:r w:rsidR="00D14E50">
        <w:rPr>
          <w:color w:val="7030A0"/>
        </w:rPr>
        <w:t xml:space="preserve"> count data. We </w:t>
      </w:r>
      <w:r w:rsidR="004A1051">
        <w:rPr>
          <w:color w:val="7030A0"/>
        </w:rPr>
        <w:t xml:space="preserve">only used data from flowering plants in this analysis, and fit these models using </w:t>
      </w:r>
      <w:r w:rsidR="00D14E50">
        <w:rPr>
          <w:color w:val="7030A0"/>
        </w:rPr>
        <w:t>the “</w:t>
      </w:r>
      <w:proofErr w:type="spellStart"/>
      <w:r w:rsidR="004A1051">
        <w:rPr>
          <w:color w:val="7030A0"/>
        </w:rPr>
        <w:t>glm.nb</w:t>
      </w:r>
      <w:proofErr w:type="spellEnd"/>
      <w:r w:rsidR="004A1051">
        <w:rPr>
          <w:color w:val="7030A0"/>
        </w:rPr>
        <w:t xml:space="preserve">” function from the “MASS” R package </w:t>
      </w:r>
      <w:r w:rsidR="004A1051">
        <w:rPr>
          <w:color w:val="7030A0"/>
        </w:rPr>
        <w:fldChar w:fldCharType="begin" w:fldLock="1"/>
      </w:r>
      <w:r w:rsidR="004A1051">
        <w:rPr>
          <w:color w:val="7030A0"/>
        </w:rPr>
        <w:instrText>ADDIN CSL_CITATION {"citationItems":[{"id":"ITEM-1","itemData":{"ISBN":"ISBN 0-387-95457-0","author":[{"dropping-particle":"","family":"Venables","given":"W N","non-dropping-particle":"","parse-names":false,"suffix":""},{"dropping-particle":"","family":"Ripley","given":"B D","non-dropping-particle":"","parse-names":false,"suffix":""}],"edition":"Fourth","id":"ITEM-1","issued":{"date-parts":[["2002"]]},"publisher":"Springer","publisher-place":"New York","title":"Modern Applied Statistics with S","type":"book"},"uris":["http://www.mendeley.com/documents/?uuid=48d57b11-4086-4235-8ee7-cd651710e176"]}],"mendeley":{"formattedCitation":"(Venables and Ripley 2002)","plainTextFormattedCitation":"(Venables and Ripley 2002)","previouslyFormattedCitation":"(Venables and Ripley 2002)"},"properties":{"noteIndex":0},"schema":"https://github.com/citation-style-language/schema/raw/master/csl-citation.json"}</w:instrText>
      </w:r>
      <w:r w:rsidR="004A1051">
        <w:rPr>
          <w:color w:val="7030A0"/>
        </w:rPr>
        <w:fldChar w:fldCharType="separate"/>
      </w:r>
      <w:r w:rsidR="004A1051" w:rsidRPr="004A1051">
        <w:rPr>
          <w:noProof/>
          <w:color w:val="7030A0"/>
        </w:rPr>
        <w:t>(Venables and Ripley 2002)</w:t>
      </w:r>
      <w:r w:rsidR="004A1051">
        <w:rPr>
          <w:color w:val="7030A0"/>
        </w:rPr>
        <w:fldChar w:fldCharType="end"/>
      </w:r>
      <w:r w:rsidR="004A1051">
        <w:rPr>
          <w:color w:val="7030A0"/>
        </w:rPr>
        <w:t>.</w:t>
      </w:r>
      <w:r w:rsidR="00D824D8">
        <w:rPr>
          <w:color w:val="7030A0"/>
        </w:rPr>
        <w:t xml:space="preserve"> </w:t>
      </w:r>
      <w:r w:rsidR="0032637B">
        <w:rPr>
          <w:color w:val="7030A0"/>
        </w:rPr>
        <w:t>Plant</w:t>
      </w:r>
      <w:r w:rsidR="00D824D8">
        <w:rPr>
          <w:color w:val="7030A0"/>
        </w:rPr>
        <w:t xml:space="preserve"> </w:t>
      </w:r>
      <w:r w:rsidR="00D824D8" w:rsidRPr="000F54B4">
        <w:rPr>
          <w:color w:val="7030A0"/>
        </w:rPr>
        <w:t>size</w:t>
      </w:r>
      <w:r w:rsidR="00D824D8" w:rsidRPr="000F54B4">
        <w:rPr>
          <w:i/>
          <w:iCs/>
          <w:color w:val="7030A0"/>
          <w:vertAlign w:val="subscript"/>
        </w:rPr>
        <w:t>t</w:t>
      </w:r>
      <w:r w:rsidR="00D824D8">
        <w:rPr>
          <w:i/>
          <w:iCs/>
          <w:color w:val="7030A0"/>
          <w:vertAlign w:val="subscript"/>
        </w:rPr>
        <w:t>+1</w:t>
      </w:r>
      <w:r w:rsidR="00D824D8">
        <w:rPr>
          <w:color w:val="7030A0"/>
        </w:rPr>
        <w:t xml:space="preserve"> </w:t>
      </w:r>
      <w:r w:rsidR="0032637B">
        <w:rPr>
          <w:color w:val="7030A0"/>
        </w:rPr>
        <w:t>(</w:t>
      </w:r>
      <w:r w:rsidR="0032637B">
        <w:rPr>
          <w:i/>
          <w:iCs/>
          <w:color w:val="7030A0"/>
        </w:rPr>
        <w:t>G(</w:t>
      </w:r>
      <w:proofErr w:type="spellStart"/>
      <w:r w:rsidR="0032637B">
        <w:rPr>
          <w:i/>
          <w:iCs/>
          <w:color w:val="7030A0"/>
        </w:rPr>
        <w:t>z’,</w:t>
      </w:r>
      <w:r w:rsidR="0032637B" w:rsidRPr="00D824D8">
        <w:rPr>
          <w:i/>
          <w:iCs/>
          <w:color w:val="7030A0"/>
        </w:rPr>
        <w:t>z</w:t>
      </w:r>
      <w:proofErr w:type="spellEnd"/>
      <w:r w:rsidR="0032637B">
        <w:rPr>
          <w:i/>
          <w:iCs/>
          <w:color w:val="7030A0"/>
        </w:rPr>
        <w:t>)</w:t>
      </w:r>
      <w:r w:rsidR="0032637B">
        <w:rPr>
          <w:color w:val="7030A0"/>
        </w:rPr>
        <w:t xml:space="preserve">) </w:t>
      </w:r>
      <w:r w:rsidR="00D824D8">
        <w:rPr>
          <w:color w:val="7030A0"/>
        </w:rPr>
        <w:t>w</w:t>
      </w:r>
      <w:r w:rsidR="0032637B">
        <w:rPr>
          <w:color w:val="7030A0"/>
        </w:rPr>
        <w:t>as</w:t>
      </w:r>
      <w:r w:rsidR="00D824D8">
        <w:rPr>
          <w:color w:val="7030A0"/>
        </w:rPr>
        <w:t xml:space="preserve"> </w:t>
      </w:r>
      <w:r w:rsidR="0032637B">
        <w:rPr>
          <w:color w:val="7030A0"/>
        </w:rPr>
        <w:t>described</w:t>
      </w:r>
      <w:r w:rsidR="00D824D8">
        <w:rPr>
          <w:color w:val="7030A0"/>
        </w:rPr>
        <w:t xml:space="preserve"> </w:t>
      </w:r>
      <w:r w:rsidR="0032637B">
        <w:rPr>
          <w:color w:val="7030A0"/>
        </w:rPr>
        <w:t xml:space="preserve">as a series of </w:t>
      </w:r>
      <w:r w:rsidR="003F0141">
        <w:rPr>
          <w:color w:val="7030A0"/>
        </w:rPr>
        <w:t>N</w:t>
      </w:r>
      <w:r w:rsidR="00D824D8">
        <w:rPr>
          <w:color w:val="7030A0"/>
        </w:rPr>
        <w:t>ormal distribution</w:t>
      </w:r>
      <w:r w:rsidR="0032637B">
        <w:rPr>
          <w:color w:val="7030A0"/>
        </w:rPr>
        <w:t>s</w:t>
      </w:r>
      <w:r w:rsidR="003F0141">
        <w:rPr>
          <w:color w:val="7030A0"/>
        </w:rPr>
        <w:t xml:space="preserve"> </w:t>
      </w:r>
      <w:r w:rsidR="003F0141" w:rsidRPr="003F0141">
        <w:rPr>
          <w:color w:val="7030A0"/>
        </w:rPr>
        <w:t xml:space="preserve">with mean = </w:t>
      </w:r>
      <w:proofErr w:type="spellStart"/>
      <w:r w:rsidR="003F0141" w:rsidRPr="003F0141">
        <w:rPr>
          <w:rFonts w:eastAsia="MS Gothic"/>
          <w:color w:val="7030A0"/>
        </w:rPr>
        <w:t>μ</w:t>
      </w:r>
      <w:r w:rsidR="003F0141" w:rsidRPr="003F0141">
        <w:rPr>
          <w:rFonts w:eastAsia="MS Gothic"/>
          <w:color w:val="7030A0"/>
          <w:vertAlign w:val="subscript"/>
        </w:rPr>
        <w:t>s</w:t>
      </w:r>
      <w:proofErr w:type="spellEnd"/>
      <w:r w:rsidR="003F0141" w:rsidRPr="003F0141">
        <w:rPr>
          <w:rFonts w:eastAsia="MS Gothic"/>
          <w:color w:val="7030A0"/>
        </w:rPr>
        <w:t xml:space="preserve"> an</w:t>
      </w:r>
      <w:r w:rsidR="003F0141">
        <w:rPr>
          <w:rFonts w:eastAsia="MS Gothic"/>
          <w:color w:val="7030A0"/>
        </w:rPr>
        <w:t>d</w:t>
      </w:r>
      <w:r w:rsidR="003F0141" w:rsidRPr="003F0141">
        <w:rPr>
          <w:rFonts w:eastAsia="MS Gothic"/>
          <w:color w:val="7030A0"/>
        </w:rPr>
        <w:t xml:space="preserve"> standard deviation = </w:t>
      </w:r>
      <w:proofErr w:type="spellStart"/>
      <w:r w:rsidR="003F0141" w:rsidRPr="003F0141">
        <w:rPr>
          <w:rFonts w:eastAsia="MS Gothic"/>
          <w:color w:val="7030A0"/>
        </w:rPr>
        <w:t>σ</w:t>
      </w:r>
      <w:r w:rsidR="003F0141" w:rsidRPr="003F0141">
        <w:rPr>
          <w:rFonts w:eastAsia="MS Gothic"/>
          <w:color w:val="7030A0"/>
          <w:vertAlign w:val="subscript"/>
        </w:rPr>
        <w:t>s</w:t>
      </w:r>
      <w:proofErr w:type="spellEnd"/>
      <w:r w:rsidR="003F0141" w:rsidRPr="003F0141">
        <w:rPr>
          <w:color w:val="7030A0"/>
        </w:rPr>
        <w:t>.</w:t>
      </w:r>
      <w:r w:rsidR="0032637B" w:rsidRPr="003F0141">
        <w:rPr>
          <w:color w:val="7030A0"/>
        </w:rPr>
        <w:t xml:space="preserve"> Mean </w:t>
      </w:r>
      <w:r w:rsidR="0032637B">
        <w:rPr>
          <w:color w:val="7030A0"/>
        </w:rPr>
        <w:t>plant size</w:t>
      </w:r>
      <w:r w:rsidR="0032637B">
        <w:rPr>
          <w:color w:val="7030A0"/>
        </w:rPr>
        <w:softHyphen/>
      </w:r>
      <w:r w:rsidR="0032637B">
        <w:rPr>
          <w:i/>
          <w:iCs/>
          <w:color w:val="7030A0"/>
          <w:vertAlign w:val="subscript"/>
        </w:rPr>
        <w:t>t+1</w:t>
      </w:r>
      <w:r w:rsidR="0032637B">
        <w:rPr>
          <w:i/>
          <w:iCs/>
          <w:color w:val="7030A0"/>
        </w:rPr>
        <w:t xml:space="preserve"> </w:t>
      </w:r>
      <w:r w:rsidR="003F0141">
        <w:rPr>
          <w:color w:val="7030A0"/>
        </w:rPr>
        <w:t>(</w:t>
      </w:r>
      <w:proofErr w:type="spellStart"/>
      <w:r w:rsidR="003F0141" w:rsidRPr="003F0141">
        <w:rPr>
          <w:rFonts w:eastAsia="MS Gothic"/>
          <w:color w:val="7030A0"/>
        </w:rPr>
        <w:t>μ</w:t>
      </w:r>
      <w:r w:rsidR="003F0141" w:rsidRPr="003F0141">
        <w:rPr>
          <w:rFonts w:eastAsia="MS Gothic"/>
          <w:color w:val="7030A0"/>
          <w:vertAlign w:val="subscript"/>
        </w:rPr>
        <w:t>s</w:t>
      </w:r>
      <w:proofErr w:type="spellEnd"/>
      <w:r w:rsidR="003F0141">
        <w:rPr>
          <w:color w:val="7030A0"/>
        </w:rPr>
        <w:t>) w</w:t>
      </w:r>
      <w:r w:rsidR="003F0141" w:rsidRPr="003F0141">
        <w:rPr>
          <w:color w:val="7030A0"/>
        </w:rPr>
        <w:t xml:space="preserve">as </w:t>
      </w:r>
      <w:r w:rsidR="003F0141">
        <w:rPr>
          <w:color w:val="7030A0"/>
        </w:rPr>
        <w:t xml:space="preserve">modeled as </w:t>
      </w:r>
      <w:r w:rsidR="003F0141" w:rsidRPr="003F0141">
        <w:rPr>
          <w:color w:val="7030A0"/>
        </w:rPr>
        <w:t>a function of</w:t>
      </w:r>
      <w:r w:rsidR="003F0141">
        <w:rPr>
          <w:i/>
          <w:iCs/>
          <w:color w:val="7030A0"/>
        </w:rPr>
        <w:t xml:space="preserve"> </w:t>
      </w:r>
      <w:proofErr w:type="spellStart"/>
      <w:r w:rsidR="0032637B">
        <w:rPr>
          <w:color w:val="7030A0"/>
        </w:rPr>
        <w:t>size</w:t>
      </w:r>
      <w:r w:rsidR="0032637B">
        <w:rPr>
          <w:color w:val="7030A0"/>
        </w:rPr>
        <w:softHyphen/>
      </w:r>
      <w:r w:rsidR="0032637B">
        <w:rPr>
          <w:i/>
          <w:iCs/>
          <w:color w:val="7030A0"/>
          <w:vertAlign w:val="subscript"/>
        </w:rPr>
        <w:t>t</w:t>
      </w:r>
      <w:proofErr w:type="spellEnd"/>
      <w:r w:rsidR="0032637B">
        <w:rPr>
          <w:i/>
          <w:iCs/>
          <w:color w:val="7030A0"/>
        </w:rPr>
        <w:t xml:space="preserve"> </w:t>
      </w:r>
      <w:r w:rsidR="003F0141">
        <w:rPr>
          <w:color w:val="7030A0"/>
        </w:rPr>
        <w:t xml:space="preserve">using </w:t>
      </w:r>
      <w:r w:rsidR="00D824D8">
        <w:rPr>
          <w:color w:val="7030A0"/>
        </w:rPr>
        <w:t>linear models with Gaussian error.</w:t>
      </w:r>
      <w:r w:rsidR="0032637B">
        <w:rPr>
          <w:color w:val="7030A0"/>
        </w:rPr>
        <w:t xml:space="preserve"> The </w:t>
      </w:r>
      <w:r w:rsidR="0032637B" w:rsidRPr="003F0141">
        <w:rPr>
          <w:color w:val="7030A0"/>
        </w:rPr>
        <w:t xml:space="preserve">standard deviation </w:t>
      </w:r>
      <w:r w:rsidR="003F0141" w:rsidRPr="003F0141">
        <w:rPr>
          <w:color w:val="7030A0"/>
        </w:rPr>
        <w:t>of plant size</w:t>
      </w:r>
      <w:r w:rsidR="003F0141" w:rsidRPr="003F0141">
        <w:rPr>
          <w:color w:val="7030A0"/>
        </w:rPr>
        <w:softHyphen/>
      </w:r>
      <w:r w:rsidR="003F0141" w:rsidRPr="003F0141">
        <w:rPr>
          <w:i/>
          <w:iCs/>
          <w:color w:val="7030A0"/>
          <w:vertAlign w:val="subscript"/>
        </w:rPr>
        <w:t>t+1</w:t>
      </w:r>
      <w:r w:rsidR="003F0141" w:rsidRPr="003F0141">
        <w:rPr>
          <w:i/>
          <w:iCs/>
          <w:color w:val="7030A0"/>
        </w:rPr>
        <w:t xml:space="preserve"> </w:t>
      </w:r>
      <w:r w:rsidR="003F0141" w:rsidRPr="003F0141">
        <w:rPr>
          <w:color w:val="7030A0"/>
        </w:rPr>
        <w:t>(</w:t>
      </w:r>
      <w:proofErr w:type="spellStart"/>
      <w:r w:rsidR="003F0141" w:rsidRPr="00CB5783">
        <w:rPr>
          <w:rFonts w:eastAsia="MS Gothic"/>
          <w:color w:val="7030A0"/>
        </w:rPr>
        <w:t>σ</w:t>
      </w:r>
      <w:r w:rsidR="003F0141" w:rsidRPr="00CB5783">
        <w:rPr>
          <w:rFonts w:eastAsia="MS Gothic"/>
          <w:color w:val="7030A0"/>
          <w:vertAlign w:val="subscript"/>
        </w:rPr>
        <w:t>s</w:t>
      </w:r>
      <w:proofErr w:type="spellEnd"/>
      <w:r w:rsidR="003F0141" w:rsidRPr="00CB5783">
        <w:rPr>
          <w:color w:val="7030A0"/>
        </w:rPr>
        <w:t>) was the residual standard error of these linear models. The distribution</w:t>
      </w:r>
      <w:r w:rsidR="00CB5783">
        <w:rPr>
          <w:color w:val="7030A0"/>
        </w:rPr>
        <w:t>s</w:t>
      </w:r>
      <w:r w:rsidR="003F0141" w:rsidRPr="00CB5783">
        <w:rPr>
          <w:color w:val="7030A0"/>
        </w:rPr>
        <w:t xml:space="preserve"> of recruit size in the next year (</w:t>
      </w:r>
      <w:r w:rsidR="003F0141" w:rsidRPr="00CB5783">
        <w:rPr>
          <w:i/>
          <w:iCs/>
          <w:color w:val="7030A0"/>
        </w:rPr>
        <w:t>c</w:t>
      </w:r>
      <w:r w:rsidR="003F0141" w:rsidRPr="00CB5783">
        <w:rPr>
          <w:i/>
          <w:iCs/>
          <w:color w:val="7030A0"/>
          <w:vertAlign w:val="subscript"/>
        </w:rPr>
        <w:t>o</w:t>
      </w:r>
      <w:r w:rsidR="003F0141" w:rsidRPr="00CB5783">
        <w:rPr>
          <w:color w:val="7030A0"/>
        </w:rPr>
        <w:t>(</w:t>
      </w:r>
      <w:r w:rsidR="003F0141" w:rsidRPr="00CB5783">
        <w:rPr>
          <w:i/>
          <w:iCs/>
          <w:color w:val="7030A0"/>
        </w:rPr>
        <w:t>z’</w:t>
      </w:r>
      <w:r w:rsidR="003F0141" w:rsidRPr="00CB5783">
        <w:rPr>
          <w:color w:val="7030A0"/>
        </w:rPr>
        <w:t>)) w</w:t>
      </w:r>
      <w:r w:rsidR="00CB5783">
        <w:rPr>
          <w:color w:val="7030A0"/>
        </w:rPr>
        <w:t xml:space="preserve">ere </w:t>
      </w:r>
      <w:r w:rsidR="003F0141" w:rsidRPr="00CB5783">
        <w:rPr>
          <w:color w:val="7030A0"/>
        </w:rPr>
        <w:t>described by Normal distribution</w:t>
      </w:r>
      <w:r w:rsidR="00CB5783">
        <w:rPr>
          <w:color w:val="7030A0"/>
        </w:rPr>
        <w:t>s</w:t>
      </w:r>
      <w:r w:rsidR="00973F38" w:rsidRPr="00CB5783">
        <w:rPr>
          <w:color w:val="7030A0"/>
        </w:rPr>
        <w:t xml:space="preserve"> </w:t>
      </w:r>
      <w:r w:rsidR="00E923D9" w:rsidRPr="00CB5783">
        <w:rPr>
          <w:color w:val="7030A0"/>
        </w:rPr>
        <w:t xml:space="preserve">with the mean </w:t>
      </w:r>
      <w:proofErr w:type="spellStart"/>
      <w:r w:rsidR="00E923D9" w:rsidRPr="00CB5783">
        <w:rPr>
          <w:rFonts w:eastAsia="MS Gothic"/>
          <w:color w:val="7030A0"/>
        </w:rPr>
        <w:t>μ</w:t>
      </w:r>
      <w:r w:rsidR="00E923D9" w:rsidRPr="00CB5783">
        <w:rPr>
          <w:rFonts w:eastAsia="MS Gothic"/>
          <w:color w:val="7030A0"/>
          <w:vertAlign w:val="subscript"/>
        </w:rPr>
        <w:t>r</w:t>
      </w:r>
      <w:proofErr w:type="spellEnd"/>
      <w:r w:rsidR="00E923D9" w:rsidRPr="00CB5783">
        <w:rPr>
          <w:rFonts w:eastAsia="MS Gothic"/>
          <w:color w:val="7030A0"/>
        </w:rPr>
        <w:t xml:space="preserve">, and the standard deviation </w:t>
      </w:r>
      <w:proofErr w:type="spellStart"/>
      <w:r w:rsidR="00E923D9" w:rsidRPr="00CB5783">
        <w:rPr>
          <w:rFonts w:eastAsia="MS Gothic"/>
          <w:color w:val="7030A0"/>
        </w:rPr>
        <w:t>σ</w:t>
      </w:r>
      <w:r w:rsidR="00E923D9" w:rsidRPr="00CB5783">
        <w:rPr>
          <w:rFonts w:eastAsia="MS Gothic"/>
          <w:color w:val="7030A0"/>
          <w:vertAlign w:val="subscript"/>
        </w:rPr>
        <w:t>r</w:t>
      </w:r>
      <w:proofErr w:type="spellEnd"/>
      <w:r w:rsidR="00E923D9" w:rsidRPr="00CB5783">
        <w:rPr>
          <w:rFonts w:eastAsia="MS Gothic"/>
          <w:color w:val="7030A0"/>
        </w:rPr>
        <w:t xml:space="preserve">. </w:t>
      </w:r>
      <w:proofErr w:type="spellStart"/>
      <w:r w:rsidR="00CB5783" w:rsidRPr="00CB5783">
        <w:rPr>
          <w:rFonts w:eastAsia="MS Gothic"/>
          <w:color w:val="7030A0"/>
        </w:rPr>
        <w:t>μ</w:t>
      </w:r>
      <w:r w:rsidR="00CB5783" w:rsidRPr="00CB5783">
        <w:rPr>
          <w:rFonts w:eastAsia="MS Gothic"/>
          <w:color w:val="7030A0"/>
          <w:vertAlign w:val="subscript"/>
        </w:rPr>
        <w:t>r</w:t>
      </w:r>
      <w:proofErr w:type="spellEnd"/>
      <w:r w:rsidR="00CB5783">
        <w:rPr>
          <w:rFonts w:eastAsia="MS Gothic"/>
          <w:color w:val="7030A0"/>
          <w:vertAlign w:val="subscript"/>
        </w:rPr>
        <w:t xml:space="preserve"> </w:t>
      </w:r>
      <w:r w:rsidR="00CB5783">
        <w:rPr>
          <w:rFonts w:eastAsia="MS Gothic"/>
          <w:color w:val="7030A0"/>
        </w:rPr>
        <w:t xml:space="preserve">and </w:t>
      </w:r>
      <w:proofErr w:type="spellStart"/>
      <w:r w:rsidR="00CB5783" w:rsidRPr="00CB5783">
        <w:rPr>
          <w:rFonts w:eastAsia="MS Gothic"/>
          <w:color w:val="7030A0"/>
        </w:rPr>
        <w:t>σ</w:t>
      </w:r>
      <w:r w:rsidR="00CB5783" w:rsidRPr="00CB5783">
        <w:rPr>
          <w:rFonts w:eastAsia="MS Gothic"/>
          <w:color w:val="7030A0"/>
          <w:vertAlign w:val="subscript"/>
        </w:rPr>
        <w:t>r</w:t>
      </w:r>
      <w:proofErr w:type="spellEnd"/>
      <w:r w:rsidR="00CB5783">
        <w:rPr>
          <w:rFonts w:eastAsia="MS Gothic"/>
          <w:color w:val="7030A0"/>
        </w:rPr>
        <w:t xml:space="preserve"> were the mean and standard deviation of observed plant size in the next year.</w:t>
      </w:r>
    </w:p>
    <w:p w14:paraId="1392D87F" w14:textId="77777777" w:rsidR="00D824D8" w:rsidRPr="0002340D" w:rsidRDefault="00D824D8" w:rsidP="00D824D8">
      <w:pPr>
        <w:pStyle w:val="NormalWeb"/>
        <w:rPr>
          <w:color w:val="000000" w:themeColor="text1"/>
        </w:rPr>
      </w:pPr>
      <w:r>
        <w:rPr>
          <w:b/>
          <w:bCs/>
          <w:color w:val="000000" w:themeColor="text1"/>
        </w:rPr>
        <w:t>Table 2</w:t>
      </w:r>
      <w:r>
        <w:rPr>
          <w:color w:val="000000" w:themeColor="text1"/>
        </w:rPr>
        <w:t xml:space="preserve">. Description of vital rates used in </w:t>
      </w:r>
      <w:r>
        <w:rPr>
          <w:i/>
          <w:iCs/>
          <w:color w:val="000000" w:themeColor="text1"/>
        </w:rPr>
        <w:t>O</w:t>
      </w:r>
      <w:r w:rsidRPr="00C20328">
        <w:rPr>
          <w:i/>
          <w:iCs/>
          <w:color w:val="000000" w:themeColor="text1"/>
        </w:rPr>
        <w:t>. coloradensis</w:t>
      </w:r>
      <w:r>
        <w:rPr>
          <w:color w:val="000000" w:themeColor="text1"/>
        </w:rPr>
        <w:t xml:space="preserve"> </w:t>
      </w:r>
      <w:r w:rsidRPr="00C20328">
        <w:rPr>
          <w:color w:val="000000" w:themeColor="text1"/>
        </w:rPr>
        <w:t>IPMs</w:t>
      </w:r>
      <w:r w:rsidRPr="00625275">
        <w:rPr>
          <w:color w:val="000000" w:themeColor="text1"/>
        </w:rPr>
        <w:t xml:space="preserve"> </w:t>
      </w:r>
    </w:p>
    <w:tbl>
      <w:tblPr>
        <w:tblStyle w:val="TableGrid"/>
        <w:tblW w:w="0" w:type="auto"/>
        <w:tblLayout w:type="fixed"/>
        <w:tblLook w:val="04A0" w:firstRow="1" w:lastRow="0" w:firstColumn="1" w:lastColumn="0" w:noHBand="0" w:noVBand="1"/>
      </w:tblPr>
      <w:tblGrid>
        <w:gridCol w:w="1183"/>
        <w:gridCol w:w="2772"/>
        <w:gridCol w:w="4320"/>
      </w:tblGrid>
      <w:tr w:rsidR="00D824D8" w14:paraId="1609C2E3" w14:textId="77777777" w:rsidTr="00953245">
        <w:tc>
          <w:tcPr>
            <w:tcW w:w="1183" w:type="dxa"/>
          </w:tcPr>
          <w:p w14:paraId="03884453" w14:textId="77777777" w:rsidR="00D824D8" w:rsidRPr="0002340D" w:rsidRDefault="00D824D8" w:rsidP="00953245">
            <w:pPr>
              <w:pStyle w:val="NormalWeb"/>
              <w:rPr>
                <w:b/>
                <w:bCs/>
                <w:color w:val="000000" w:themeColor="text1"/>
              </w:rPr>
            </w:pPr>
            <w:r>
              <w:rPr>
                <w:b/>
                <w:bCs/>
                <w:color w:val="000000" w:themeColor="text1"/>
              </w:rPr>
              <w:t>Vital rate</w:t>
            </w:r>
          </w:p>
        </w:tc>
        <w:tc>
          <w:tcPr>
            <w:tcW w:w="2772" w:type="dxa"/>
          </w:tcPr>
          <w:p w14:paraId="1DB1E2DF" w14:textId="77777777" w:rsidR="00D824D8" w:rsidRPr="0002340D" w:rsidRDefault="00D824D8" w:rsidP="00953245">
            <w:pPr>
              <w:pStyle w:val="NormalWeb"/>
              <w:rPr>
                <w:b/>
                <w:bCs/>
                <w:color w:val="000000" w:themeColor="text1"/>
              </w:rPr>
            </w:pPr>
            <w:r>
              <w:rPr>
                <w:b/>
                <w:bCs/>
                <w:color w:val="000000" w:themeColor="text1"/>
              </w:rPr>
              <w:t>Description</w:t>
            </w:r>
          </w:p>
        </w:tc>
        <w:tc>
          <w:tcPr>
            <w:tcW w:w="4320" w:type="dxa"/>
          </w:tcPr>
          <w:p w14:paraId="4C5939C3" w14:textId="77777777" w:rsidR="00D824D8" w:rsidRPr="0002340D" w:rsidRDefault="00D824D8" w:rsidP="00953245">
            <w:pPr>
              <w:pStyle w:val="NormalWeb"/>
              <w:rPr>
                <w:b/>
                <w:bCs/>
                <w:color w:val="000000" w:themeColor="text1"/>
              </w:rPr>
            </w:pPr>
            <w:r>
              <w:rPr>
                <w:b/>
                <w:bCs/>
                <w:color w:val="000000" w:themeColor="text1"/>
              </w:rPr>
              <w:t>Model</w:t>
            </w:r>
          </w:p>
        </w:tc>
      </w:tr>
      <w:tr w:rsidR="00D824D8" w14:paraId="02317E24" w14:textId="77777777" w:rsidTr="00953245">
        <w:tc>
          <w:tcPr>
            <w:tcW w:w="1183" w:type="dxa"/>
          </w:tcPr>
          <w:p w14:paraId="0F86382A" w14:textId="77777777" w:rsidR="00D824D8" w:rsidRPr="00CC4125" w:rsidRDefault="00D824D8" w:rsidP="00953245">
            <w:pPr>
              <w:pStyle w:val="NormalWeb"/>
              <w:rPr>
                <w:i/>
                <w:iCs/>
                <w:color w:val="000000" w:themeColor="text1"/>
              </w:rPr>
            </w:pPr>
            <w:proofErr w:type="spellStart"/>
            <w:r w:rsidRPr="00CC4125">
              <w:rPr>
                <w:i/>
                <w:iCs/>
                <w:color w:val="000000" w:themeColor="text1"/>
              </w:rPr>
              <w:t>goCont</w:t>
            </w:r>
            <w:proofErr w:type="spellEnd"/>
          </w:p>
        </w:tc>
        <w:tc>
          <w:tcPr>
            <w:tcW w:w="2772" w:type="dxa"/>
          </w:tcPr>
          <w:p w14:paraId="2B25517D" w14:textId="77777777" w:rsidR="00D824D8" w:rsidRPr="00CC4125" w:rsidRDefault="00D824D8" w:rsidP="00953245">
            <w:pPr>
              <w:pStyle w:val="NormalWeb"/>
              <w:rPr>
                <w:color w:val="000000" w:themeColor="text1"/>
              </w:rPr>
            </w:pPr>
            <w:r w:rsidRPr="00625275">
              <w:rPr>
                <w:i/>
                <w:iCs/>
                <w:color w:val="000000" w:themeColor="text1"/>
              </w:rPr>
              <w:t>P</w:t>
            </w:r>
            <w:r>
              <w:rPr>
                <w:color w:val="000000" w:themeColor="text1"/>
              </w:rPr>
              <w:t xml:space="preserve">(seed produced in </w:t>
            </w:r>
            <w:r>
              <w:rPr>
                <w:i/>
                <w:iCs/>
                <w:color w:val="000000" w:themeColor="text1"/>
              </w:rPr>
              <w:t>t</w:t>
            </w:r>
            <w:r>
              <w:rPr>
                <w:color w:val="000000" w:themeColor="text1"/>
              </w:rPr>
              <w:t xml:space="preserve"> germinates in </w:t>
            </w:r>
            <w:r>
              <w:rPr>
                <w:i/>
                <w:iCs/>
                <w:color w:val="000000" w:themeColor="text1"/>
              </w:rPr>
              <w:t>t</w:t>
            </w:r>
            <w:r>
              <w:rPr>
                <w:color w:val="000000" w:themeColor="text1"/>
              </w:rPr>
              <w:t>+1)</w:t>
            </w:r>
          </w:p>
        </w:tc>
        <w:tc>
          <w:tcPr>
            <w:tcW w:w="4320" w:type="dxa"/>
          </w:tcPr>
          <w:p w14:paraId="51B40505" w14:textId="77777777" w:rsidR="00D824D8" w:rsidRPr="00625275" w:rsidRDefault="00D824D8" w:rsidP="00953245">
            <w:pPr>
              <w:pStyle w:val="NormalWeb"/>
              <w:rPr>
                <w:color w:val="000000" w:themeColor="text1"/>
              </w:rPr>
            </w:pPr>
            <w:proofErr w:type="spellStart"/>
            <w:r>
              <w:rPr>
                <w:i/>
                <w:iCs/>
                <w:color w:val="000000" w:themeColor="text1"/>
              </w:rPr>
              <w:t>goCont</w:t>
            </w:r>
            <w:proofErr w:type="spellEnd"/>
            <w:r>
              <w:rPr>
                <w:i/>
                <w:iCs/>
                <w:color w:val="000000" w:themeColor="text1"/>
              </w:rPr>
              <w:t xml:space="preserve"> </w:t>
            </w:r>
            <w:r>
              <w:rPr>
                <w:color w:val="000000" w:themeColor="text1"/>
              </w:rPr>
              <w:t xml:space="preserve">= </w:t>
            </w:r>
            <w:proofErr w:type="spellStart"/>
            <w:r>
              <w:rPr>
                <w:color w:val="000000" w:themeColor="text1"/>
              </w:rPr>
              <w:t>viab</w:t>
            </w:r>
            <w:proofErr w:type="spellEnd"/>
            <w:r>
              <w:rPr>
                <w:color w:val="000000" w:themeColor="text1"/>
              </w:rPr>
              <w:t>. rate (germ. rate)</w:t>
            </w:r>
          </w:p>
        </w:tc>
      </w:tr>
      <w:tr w:rsidR="00D824D8" w14:paraId="74632E16" w14:textId="77777777" w:rsidTr="00953245">
        <w:tc>
          <w:tcPr>
            <w:tcW w:w="1183" w:type="dxa"/>
          </w:tcPr>
          <w:p w14:paraId="3FC0DF14" w14:textId="77777777" w:rsidR="00D824D8" w:rsidRPr="00CC4125" w:rsidRDefault="00D824D8" w:rsidP="00953245">
            <w:pPr>
              <w:pStyle w:val="NormalWeb"/>
              <w:rPr>
                <w:i/>
                <w:iCs/>
                <w:color w:val="000000" w:themeColor="text1"/>
              </w:rPr>
            </w:pPr>
            <w:proofErr w:type="spellStart"/>
            <w:r w:rsidRPr="00CC4125">
              <w:rPr>
                <w:i/>
                <w:iCs/>
                <w:color w:val="000000" w:themeColor="text1"/>
              </w:rPr>
              <w:t>outSB</w:t>
            </w:r>
            <w:proofErr w:type="spellEnd"/>
          </w:p>
        </w:tc>
        <w:tc>
          <w:tcPr>
            <w:tcW w:w="2772" w:type="dxa"/>
          </w:tcPr>
          <w:p w14:paraId="653ADE5A" w14:textId="77777777" w:rsidR="00D824D8" w:rsidRPr="00CC4125" w:rsidRDefault="00D824D8" w:rsidP="00953245">
            <w:pPr>
              <w:pStyle w:val="NormalWeb"/>
              <w:rPr>
                <w:color w:val="000000" w:themeColor="text1"/>
              </w:rPr>
            </w:pPr>
            <w:r w:rsidRPr="00625275">
              <w:rPr>
                <w:i/>
                <w:iCs/>
                <w:color w:val="000000" w:themeColor="text1"/>
              </w:rPr>
              <w:t>P</w:t>
            </w:r>
            <w:r>
              <w:rPr>
                <w:color w:val="000000" w:themeColor="text1"/>
              </w:rPr>
              <w:t xml:space="preserve">(seedbank seed in </w:t>
            </w:r>
            <w:r>
              <w:rPr>
                <w:i/>
                <w:iCs/>
                <w:color w:val="000000" w:themeColor="text1"/>
              </w:rPr>
              <w:t>t</w:t>
            </w:r>
            <w:r>
              <w:rPr>
                <w:color w:val="000000" w:themeColor="text1"/>
              </w:rPr>
              <w:t xml:space="preserve"> germinates in </w:t>
            </w:r>
            <w:r>
              <w:rPr>
                <w:i/>
                <w:iCs/>
                <w:color w:val="000000" w:themeColor="text1"/>
              </w:rPr>
              <w:t>t</w:t>
            </w:r>
            <w:r>
              <w:rPr>
                <w:color w:val="000000" w:themeColor="text1"/>
              </w:rPr>
              <w:t>+1)</w:t>
            </w:r>
          </w:p>
        </w:tc>
        <w:tc>
          <w:tcPr>
            <w:tcW w:w="4320" w:type="dxa"/>
          </w:tcPr>
          <w:p w14:paraId="1E711C9B" w14:textId="77777777" w:rsidR="00D824D8" w:rsidRPr="00625275" w:rsidRDefault="00D824D8" w:rsidP="00953245">
            <w:pPr>
              <w:pStyle w:val="NormalWeb"/>
              <w:rPr>
                <w:color w:val="000000" w:themeColor="text1"/>
              </w:rPr>
            </w:pPr>
            <w:proofErr w:type="spellStart"/>
            <w:r>
              <w:rPr>
                <w:i/>
                <w:iCs/>
                <w:color w:val="000000" w:themeColor="text1"/>
              </w:rPr>
              <w:t>outSB</w:t>
            </w:r>
            <w:proofErr w:type="spellEnd"/>
            <w:r>
              <w:rPr>
                <w:color w:val="000000" w:themeColor="text1"/>
              </w:rPr>
              <w:t xml:space="preserve"> = germ. rate (1 </w:t>
            </w:r>
            <w:r w:rsidRPr="00625275">
              <w:rPr>
                <w:color w:val="000000" w:themeColor="text1"/>
              </w:rPr>
              <w:t xml:space="preserve">- </w:t>
            </w:r>
            <w:r>
              <w:rPr>
                <w:color w:val="000000" w:themeColor="text1"/>
              </w:rPr>
              <w:t>death rate)</w:t>
            </w:r>
          </w:p>
        </w:tc>
      </w:tr>
      <w:tr w:rsidR="00D824D8" w14:paraId="6CC6A1AE" w14:textId="77777777" w:rsidTr="00953245">
        <w:tc>
          <w:tcPr>
            <w:tcW w:w="1183" w:type="dxa"/>
          </w:tcPr>
          <w:p w14:paraId="1BEC02A6" w14:textId="77777777" w:rsidR="00D824D8" w:rsidRPr="00CC4125" w:rsidRDefault="00D824D8" w:rsidP="00953245">
            <w:pPr>
              <w:pStyle w:val="NormalWeb"/>
              <w:rPr>
                <w:i/>
                <w:iCs/>
                <w:color w:val="000000" w:themeColor="text1"/>
              </w:rPr>
            </w:pPr>
            <w:proofErr w:type="spellStart"/>
            <w:r w:rsidRPr="00CC4125">
              <w:rPr>
                <w:i/>
                <w:iCs/>
                <w:color w:val="000000" w:themeColor="text1"/>
              </w:rPr>
              <w:t>goSB</w:t>
            </w:r>
            <w:proofErr w:type="spellEnd"/>
          </w:p>
        </w:tc>
        <w:tc>
          <w:tcPr>
            <w:tcW w:w="2772" w:type="dxa"/>
          </w:tcPr>
          <w:p w14:paraId="482E4922" w14:textId="77777777" w:rsidR="00D824D8" w:rsidRDefault="00D824D8" w:rsidP="00953245">
            <w:pPr>
              <w:pStyle w:val="NormalWeb"/>
              <w:rPr>
                <w:color w:val="000000" w:themeColor="text1"/>
              </w:rPr>
            </w:pPr>
            <w:r w:rsidRPr="00625275">
              <w:rPr>
                <w:i/>
                <w:iCs/>
                <w:color w:val="000000" w:themeColor="text1"/>
              </w:rPr>
              <w:t>P</w:t>
            </w:r>
            <w:r>
              <w:rPr>
                <w:color w:val="000000" w:themeColor="text1"/>
              </w:rPr>
              <w:t xml:space="preserve">(seed produced in </w:t>
            </w:r>
            <w:r>
              <w:rPr>
                <w:i/>
                <w:iCs/>
                <w:color w:val="000000" w:themeColor="text1"/>
              </w:rPr>
              <w:t>t</w:t>
            </w:r>
            <w:r>
              <w:rPr>
                <w:color w:val="000000" w:themeColor="text1"/>
              </w:rPr>
              <w:t xml:space="preserve"> goes to the seedbank in </w:t>
            </w:r>
            <w:r>
              <w:rPr>
                <w:i/>
                <w:iCs/>
                <w:color w:val="000000" w:themeColor="text1"/>
              </w:rPr>
              <w:t>t</w:t>
            </w:r>
            <w:r>
              <w:rPr>
                <w:color w:val="000000" w:themeColor="text1"/>
              </w:rPr>
              <w:t>+1)</w:t>
            </w:r>
          </w:p>
        </w:tc>
        <w:tc>
          <w:tcPr>
            <w:tcW w:w="4320" w:type="dxa"/>
          </w:tcPr>
          <w:p w14:paraId="32B88B59" w14:textId="77777777" w:rsidR="00D824D8" w:rsidRDefault="00D824D8" w:rsidP="00953245">
            <w:pPr>
              <w:pStyle w:val="NormalWeb"/>
              <w:rPr>
                <w:color w:val="000000" w:themeColor="text1"/>
              </w:rPr>
            </w:pPr>
            <w:proofErr w:type="spellStart"/>
            <w:r>
              <w:rPr>
                <w:i/>
                <w:iCs/>
                <w:color w:val="000000" w:themeColor="text1"/>
              </w:rPr>
              <w:t>goSB</w:t>
            </w:r>
            <w:proofErr w:type="spellEnd"/>
            <w:r>
              <w:rPr>
                <w:color w:val="000000" w:themeColor="text1"/>
              </w:rPr>
              <w:t xml:space="preserve"> = </w:t>
            </w:r>
            <w:proofErr w:type="spellStart"/>
            <w:r w:rsidRPr="00625275">
              <w:rPr>
                <w:color w:val="000000" w:themeColor="text1"/>
              </w:rPr>
              <w:t>viab.r</w:t>
            </w:r>
            <w:r>
              <w:rPr>
                <w:color w:val="000000" w:themeColor="text1"/>
              </w:rPr>
              <w:t>a</w:t>
            </w:r>
            <w:r w:rsidRPr="00625275">
              <w:rPr>
                <w:color w:val="000000" w:themeColor="text1"/>
              </w:rPr>
              <w:t>t</w:t>
            </w:r>
            <w:r>
              <w:rPr>
                <w:color w:val="000000" w:themeColor="text1"/>
              </w:rPr>
              <w:t>e</w:t>
            </w:r>
            <w:proofErr w:type="spellEnd"/>
            <w:r w:rsidRPr="00625275">
              <w:rPr>
                <w:color w:val="000000" w:themeColor="text1"/>
              </w:rPr>
              <w:t xml:space="preserve"> (1 - germ.</w:t>
            </w:r>
            <w:r>
              <w:rPr>
                <w:color w:val="000000" w:themeColor="text1"/>
              </w:rPr>
              <w:t xml:space="preserve"> </w:t>
            </w:r>
            <w:r w:rsidRPr="00625275">
              <w:rPr>
                <w:color w:val="000000" w:themeColor="text1"/>
              </w:rPr>
              <w:t>r</w:t>
            </w:r>
            <w:r>
              <w:rPr>
                <w:color w:val="000000" w:themeColor="text1"/>
              </w:rPr>
              <w:t>a</w:t>
            </w:r>
            <w:r w:rsidRPr="00625275">
              <w:rPr>
                <w:color w:val="000000" w:themeColor="text1"/>
              </w:rPr>
              <w:t>t</w:t>
            </w:r>
            <w:r>
              <w:rPr>
                <w:color w:val="000000" w:themeColor="text1"/>
              </w:rPr>
              <w:t>e</w:t>
            </w:r>
            <w:r w:rsidRPr="00625275">
              <w:rPr>
                <w:color w:val="000000" w:themeColor="text1"/>
              </w:rPr>
              <w:t>)</w:t>
            </w:r>
            <w:r>
              <w:rPr>
                <w:color w:val="000000" w:themeColor="text1"/>
              </w:rPr>
              <w:t xml:space="preserve"> </w:t>
            </w:r>
          </w:p>
        </w:tc>
      </w:tr>
      <w:tr w:rsidR="00D824D8" w14:paraId="2DF96B22" w14:textId="77777777" w:rsidTr="00953245">
        <w:tc>
          <w:tcPr>
            <w:tcW w:w="1183" w:type="dxa"/>
          </w:tcPr>
          <w:p w14:paraId="1B3593F0" w14:textId="77777777" w:rsidR="00D824D8" w:rsidRPr="00CC4125" w:rsidRDefault="00D824D8" w:rsidP="00953245">
            <w:pPr>
              <w:pStyle w:val="NormalWeb"/>
              <w:rPr>
                <w:i/>
                <w:iCs/>
                <w:color w:val="000000" w:themeColor="text1"/>
              </w:rPr>
            </w:pPr>
            <w:proofErr w:type="spellStart"/>
            <w:r w:rsidRPr="00CC4125">
              <w:rPr>
                <w:i/>
                <w:iCs/>
                <w:color w:val="000000" w:themeColor="text1"/>
              </w:rPr>
              <w:t>staySB</w:t>
            </w:r>
            <w:proofErr w:type="spellEnd"/>
          </w:p>
        </w:tc>
        <w:tc>
          <w:tcPr>
            <w:tcW w:w="2772" w:type="dxa"/>
          </w:tcPr>
          <w:p w14:paraId="71791E40" w14:textId="77777777" w:rsidR="00D824D8" w:rsidRDefault="00D824D8" w:rsidP="00953245">
            <w:pPr>
              <w:pStyle w:val="NormalWeb"/>
              <w:rPr>
                <w:color w:val="000000" w:themeColor="text1"/>
              </w:rPr>
            </w:pPr>
            <w:r w:rsidRPr="00625275">
              <w:rPr>
                <w:i/>
                <w:iCs/>
                <w:color w:val="000000" w:themeColor="text1"/>
              </w:rPr>
              <w:t>P</w:t>
            </w:r>
            <w:r>
              <w:rPr>
                <w:color w:val="000000" w:themeColor="text1"/>
              </w:rPr>
              <w:t xml:space="preserve">(seedbank seed in </w:t>
            </w:r>
            <w:r>
              <w:rPr>
                <w:i/>
                <w:iCs/>
                <w:color w:val="000000" w:themeColor="text1"/>
              </w:rPr>
              <w:t>t</w:t>
            </w:r>
            <w:r>
              <w:rPr>
                <w:color w:val="000000" w:themeColor="text1"/>
              </w:rPr>
              <w:t xml:space="preserve"> stays in the seedbank in </w:t>
            </w:r>
            <w:r>
              <w:rPr>
                <w:i/>
                <w:iCs/>
                <w:color w:val="000000" w:themeColor="text1"/>
              </w:rPr>
              <w:t>t</w:t>
            </w:r>
            <w:r>
              <w:rPr>
                <w:color w:val="000000" w:themeColor="text1"/>
              </w:rPr>
              <w:t>+1)</w:t>
            </w:r>
          </w:p>
        </w:tc>
        <w:tc>
          <w:tcPr>
            <w:tcW w:w="4320" w:type="dxa"/>
          </w:tcPr>
          <w:p w14:paraId="4E8A62B4" w14:textId="77777777" w:rsidR="00D824D8" w:rsidRDefault="00D824D8" w:rsidP="00953245">
            <w:pPr>
              <w:pStyle w:val="NormalWeb"/>
              <w:jc w:val="both"/>
              <w:rPr>
                <w:color w:val="000000" w:themeColor="text1"/>
              </w:rPr>
            </w:pPr>
            <w:proofErr w:type="spellStart"/>
            <w:r>
              <w:rPr>
                <w:i/>
                <w:iCs/>
                <w:color w:val="000000" w:themeColor="text1"/>
              </w:rPr>
              <w:t>staySB</w:t>
            </w:r>
            <w:proofErr w:type="spellEnd"/>
            <w:r>
              <w:rPr>
                <w:i/>
                <w:iCs/>
                <w:color w:val="000000" w:themeColor="text1"/>
              </w:rPr>
              <w:t xml:space="preserve"> = </w:t>
            </w:r>
            <w:r>
              <w:rPr>
                <w:color w:val="000000" w:themeColor="text1"/>
              </w:rPr>
              <w:t xml:space="preserve">(1 </w:t>
            </w:r>
            <w:r w:rsidRPr="00625275">
              <w:rPr>
                <w:color w:val="000000" w:themeColor="text1"/>
              </w:rPr>
              <w:t xml:space="preserve">- </w:t>
            </w:r>
            <w:r>
              <w:rPr>
                <w:color w:val="000000" w:themeColor="text1"/>
              </w:rPr>
              <w:t xml:space="preserve">germ. </w:t>
            </w:r>
            <w:r w:rsidRPr="00625275">
              <w:rPr>
                <w:color w:val="000000" w:themeColor="text1"/>
              </w:rPr>
              <w:t>r</w:t>
            </w:r>
            <w:r>
              <w:rPr>
                <w:color w:val="000000" w:themeColor="text1"/>
              </w:rPr>
              <w:t>a</w:t>
            </w:r>
            <w:r w:rsidRPr="00625275">
              <w:rPr>
                <w:color w:val="000000" w:themeColor="text1"/>
              </w:rPr>
              <w:t>t</w:t>
            </w:r>
            <w:r>
              <w:rPr>
                <w:color w:val="000000" w:themeColor="text1"/>
              </w:rPr>
              <w:t>e</w:t>
            </w:r>
            <w:r w:rsidRPr="00625275">
              <w:rPr>
                <w:color w:val="000000" w:themeColor="text1"/>
              </w:rPr>
              <w:t>)</w:t>
            </w:r>
            <w:r>
              <w:rPr>
                <w:color w:val="000000" w:themeColor="text1"/>
              </w:rPr>
              <w:t xml:space="preserve"> (1 </w:t>
            </w:r>
            <w:r w:rsidRPr="00625275">
              <w:rPr>
                <w:color w:val="000000" w:themeColor="text1"/>
              </w:rPr>
              <w:t xml:space="preserve">- </w:t>
            </w:r>
            <w:r>
              <w:rPr>
                <w:color w:val="000000" w:themeColor="text1"/>
              </w:rPr>
              <w:t xml:space="preserve"> death rate)</w:t>
            </w:r>
          </w:p>
        </w:tc>
      </w:tr>
      <w:tr w:rsidR="00EE322E" w14:paraId="125E8FB2" w14:textId="77777777" w:rsidTr="00953245">
        <w:tc>
          <w:tcPr>
            <w:tcW w:w="1183" w:type="dxa"/>
          </w:tcPr>
          <w:p w14:paraId="61521630" w14:textId="079D7977" w:rsidR="00EE322E" w:rsidRPr="00CC4125" w:rsidRDefault="00EE322E" w:rsidP="00EE322E">
            <w:pPr>
              <w:pStyle w:val="NormalWeb"/>
              <w:rPr>
                <w:i/>
                <w:iCs/>
                <w:color w:val="000000" w:themeColor="text1"/>
              </w:rPr>
            </w:pPr>
            <w:r>
              <w:rPr>
                <w:i/>
                <w:iCs/>
                <w:color w:val="000000" w:themeColor="text1"/>
              </w:rPr>
              <w:t>s</w:t>
            </w:r>
            <w:r>
              <w:rPr>
                <w:color w:val="000000" w:themeColor="text1"/>
              </w:rPr>
              <w:t>(</w:t>
            </w:r>
            <w:r>
              <w:rPr>
                <w:i/>
                <w:iCs/>
                <w:color w:val="000000" w:themeColor="text1"/>
              </w:rPr>
              <w:t>z</w:t>
            </w:r>
            <w:r>
              <w:rPr>
                <w:color w:val="000000" w:themeColor="text1"/>
              </w:rPr>
              <w:t>)</w:t>
            </w:r>
          </w:p>
        </w:tc>
        <w:tc>
          <w:tcPr>
            <w:tcW w:w="2772" w:type="dxa"/>
          </w:tcPr>
          <w:p w14:paraId="252A1A5D" w14:textId="3F4990AA" w:rsidR="00EE322E" w:rsidRPr="00625275" w:rsidRDefault="00EE322E" w:rsidP="00EE322E">
            <w:pPr>
              <w:pStyle w:val="NormalWeb"/>
              <w:rPr>
                <w:i/>
                <w:iCs/>
                <w:color w:val="000000" w:themeColor="text1"/>
              </w:rPr>
            </w:pPr>
            <w:r>
              <w:rPr>
                <w:i/>
                <w:iCs/>
                <w:color w:val="000000" w:themeColor="text1"/>
              </w:rPr>
              <w:t>P</w:t>
            </w:r>
            <w:r>
              <w:rPr>
                <w:color w:val="000000" w:themeColor="text1"/>
              </w:rPr>
              <w:t xml:space="preserve">(survival from </w:t>
            </w:r>
            <w:r w:rsidRPr="001A5F93">
              <w:rPr>
                <w:i/>
                <w:iCs/>
                <w:color w:val="000000" w:themeColor="text1"/>
              </w:rPr>
              <w:t xml:space="preserve">t </w:t>
            </w:r>
            <w:r>
              <w:rPr>
                <w:color w:val="000000" w:themeColor="text1"/>
              </w:rPr>
              <w:t xml:space="preserve">to </w:t>
            </w:r>
            <w:r>
              <w:rPr>
                <w:i/>
                <w:iCs/>
                <w:color w:val="000000" w:themeColor="text1"/>
              </w:rPr>
              <w:t>t+1</w:t>
            </w:r>
            <w:r>
              <w:rPr>
                <w:color w:val="000000" w:themeColor="text1"/>
              </w:rPr>
              <w:t>)</w:t>
            </w:r>
          </w:p>
        </w:tc>
        <w:tc>
          <w:tcPr>
            <w:tcW w:w="4320" w:type="dxa"/>
          </w:tcPr>
          <w:p w14:paraId="5B421CFA" w14:textId="043F99B6" w:rsidR="00EE322E" w:rsidRDefault="00EE322E" w:rsidP="00EE322E">
            <w:pPr>
              <w:pStyle w:val="NormalWeb"/>
              <w:jc w:val="both"/>
              <w:rPr>
                <w:i/>
                <w:iCs/>
                <w:color w:val="000000" w:themeColor="text1"/>
              </w:rPr>
            </w:pPr>
            <w:r>
              <w:rPr>
                <w:color w:val="000000" w:themeColor="text1"/>
              </w:rPr>
              <w:t xml:space="preserve">logit(survival) </w:t>
            </w:r>
            <w:r w:rsidRPr="0002512D">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w:t>
            </w:r>
            <w:r w:rsidRPr="00B56DDD">
              <w:rPr>
                <w:color w:val="000000" w:themeColor="text1"/>
              </w:rPr>
              <w:t xml:space="preserve"> + </w:t>
            </w:r>
            <w:r w:rsidRPr="00B56DDD">
              <w:rPr>
                <w:rFonts w:eastAsia="MS Gothic"/>
                <w:color w:val="000000" w:themeColor="text1"/>
              </w:rPr>
              <w:t>ε</w:t>
            </w:r>
          </w:p>
        </w:tc>
      </w:tr>
      <w:tr w:rsidR="00EE322E" w14:paraId="7A1059B4" w14:textId="77777777" w:rsidTr="00953245">
        <w:tc>
          <w:tcPr>
            <w:tcW w:w="1183" w:type="dxa"/>
          </w:tcPr>
          <w:p w14:paraId="24E62763" w14:textId="16F88754" w:rsidR="00EE322E" w:rsidRPr="00CC4125" w:rsidRDefault="00EE322E" w:rsidP="00EE322E">
            <w:pPr>
              <w:pStyle w:val="NormalWeb"/>
              <w:rPr>
                <w:i/>
                <w:iCs/>
                <w:color w:val="000000" w:themeColor="text1"/>
              </w:rPr>
            </w:pPr>
            <w:r w:rsidRPr="00985C6E">
              <w:rPr>
                <w:i/>
                <w:iCs/>
                <w:color w:val="000000" w:themeColor="text1"/>
              </w:rPr>
              <w:t>Pb</w:t>
            </w:r>
            <w:r>
              <w:rPr>
                <w:color w:val="000000" w:themeColor="text1"/>
              </w:rPr>
              <w:t>(</w:t>
            </w:r>
            <w:r w:rsidRPr="00985C6E">
              <w:rPr>
                <w:i/>
                <w:iCs/>
                <w:color w:val="000000" w:themeColor="text1"/>
              </w:rPr>
              <w:t>z</w:t>
            </w:r>
            <w:r>
              <w:rPr>
                <w:color w:val="000000" w:themeColor="text1"/>
              </w:rPr>
              <w:t>)</w:t>
            </w:r>
          </w:p>
        </w:tc>
        <w:tc>
          <w:tcPr>
            <w:tcW w:w="2772" w:type="dxa"/>
          </w:tcPr>
          <w:p w14:paraId="2C81D077" w14:textId="576C5B6F" w:rsidR="00EE322E" w:rsidRPr="00625275" w:rsidRDefault="00EE322E" w:rsidP="00EE322E">
            <w:pPr>
              <w:pStyle w:val="NormalWeb"/>
              <w:rPr>
                <w:i/>
                <w:iCs/>
                <w:color w:val="000000" w:themeColor="text1"/>
              </w:rPr>
            </w:pPr>
            <w:r w:rsidRPr="00985C6E">
              <w:rPr>
                <w:i/>
                <w:iCs/>
                <w:color w:val="000000" w:themeColor="text1"/>
              </w:rPr>
              <w:t>P</w:t>
            </w:r>
            <w:r>
              <w:rPr>
                <w:color w:val="000000" w:themeColor="text1"/>
              </w:rPr>
              <w:t xml:space="preserve">(flowering in </w:t>
            </w:r>
            <w:r>
              <w:rPr>
                <w:i/>
                <w:iCs/>
                <w:color w:val="000000" w:themeColor="text1"/>
              </w:rPr>
              <w:t>t</w:t>
            </w:r>
            <w:r>
              <w:rPr>
                <w:color w:val="000000" w:themeColor="text1"/>
              </w:rPr>
              <w:t>)</w:t>
            </w:r>
          </w:p>
        </w:tc>
        <w:tc>
          <w:tcPr>
            <w:tcW w:w="4320" w:type="dxa"/>
          </w:tcPr>
          <w:p w14:paraId="0B27345C" w14:textId="72FC9AD2" w:rsidR="00EE322E" w:rsidRDefault="00EE322E" w:rsidP="00EE322E">
            <w:pPr>
              <w:pStyle w:val="NormalWeb"/>
              <w:jc w:val="both"/>
              <w:rPr>
                <w:i/>
                <w:iCs/>
                <w:color w:val="000000" w:themeColor="text1"/>
              </w:rPr>
            </w:pPr>
            <w:r>
              <w:rPr>
                <w:color w:val="000000" w:themeColor="text1"/>
              </w:rPr>
              <w:t xml:space="preserve">logit(flowering) </w:t>
            </w:r>
            <w:r w:rsidRPr="0002512D">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1</w:t>
            </w:r>
            <w:r>
              <w:rPr>
                <w:rFonts w:eastAsia="Arial Unicode MS"/>
                <w:color w:val="000000" w:themeColor="text1"/>
                <w:vertAlign w:val="subscript"/>
              </w:rPr>
              <w:t xml:space="preserve"> </w:t>
            </w:r>
            <w:r>
              <w:rPr>
                <w:rFonts w:eastAsia="Arial Unicode MS"/>
                <w:color w:val="000000" w:themeColor="text1"/>
              </w:rPr>
              <w:t>(</w:t>
            </w:r>
            <w:r w:rsidRPr="0002512D">
              <w:rPr>
                <w:color w:val="000000" w:themeColor="text1"/>
              </w:rPr>
              <w:t>log</w:t>
            </w:r>
            <w:r>
              <w:rPr>
                <w:color w:val="000000" w:themeColor="text1"/>
              </w:rPr>
              <w:t>(</w:t>
            </w:r>
            <w:proofErr w:type="spellStart"/>
            <w:r>
              <w:rPr>
                <w:color w:val="000000" w:themeColor="text1"/>
              </w:rPr>
              <w:t>size</w:t>
            </w:r>
            <w:r>
              <w:rPr>
                <w:i/>
                <w:iCs/>
                <w:color w:val="000000" w:themeColor="text1"/>
                <w:vertAlign w:val="subscript"/>
              </w:rPr>
              <w:t>t</w:t>
            </w:r>
            <w:proofErr w:type="spellEnd"/>
            <w:r>
              <w:rPr>
                <w:color w:val="000000" w:themeColor="text1"/>
              </w:rPr>
              <w:t xml:space="preserve">)) + </w:t>
            </w:r>
            <w:r w:rsidRPr="0002512D">
              <w:rPr>
                <w:rFonts w:eastAsia="Arial Unicode MS"/>
                <w:color w:val="000000" w:themeColor="text1"/>
              </w:rPr>
              <w:t>β</w:t>
            </w:r>
            <w:r w:rsidRPr="0002512D">
              <w:rPr>
                <w:rFonts w:eastAsia="Arial Unicode MS"/>
                <w:color w:val="000000" w:themeColor="text1"/>
                <w:vertAlign w:val="subscript"/>
              </w:rPr>
              <w:t>2</w:t>
            </w:r>
            <w:r>
              <w:rPr>
                <w:rFonts w:eastAsia="Arial Unicode MS"/>
                <w:color w:val="000000" w:themeColor="text1"/>
                <w:vertAlign w:val="subscript"/>
              </w:rPr>
              <w:t xml:space="preserve"> </w:t>
            </w:r>
            <w:r>
              <w:rPr>
                <w:rFonts w:eastAsia="Arial Unicode MS"/>
                <w:color w:val="000000" w:themeColor="text1"/>
              </w:rPr>
              <w:t>(</w:t>
            </w:r>
            <w:r w:rsidRPr="0002512D">
              <w:rPr>
                <w:color w:val="000000" w:themeColor="text1"/>
              </w:rPr>
              <w:t>log</w:t>
            </w:r>
            <w:r>
              <w:rPr>
                <w:color w:val="000000" w:themeColor="text1"/>
              </w:rPr>
              <w:t>(</w:t>
            </w:r>
            <w:proofErr w:type="spellStart"/>
            <w:r>
              <w:rPr>
                <w:color w:val="000000" w:themeColor="text1"/>
              </w:rPr>
              <w:t>size</w:t>
            </w:r>
            <w:r>
              <w:rPr>
                <w:i/>
                <w:iCs/>
                <w:color w:val="000000" w:themeColor="text1"/>
                <w:vertAlign w:val="subscript"/>
              </w:rPr>
              <w:t>t</w:t>
            </w:r>
            <w:proofErr w:type="spellEnd"/>
            <w:r>
              <w:rPr>
                <w:color w:val="000000" w:themeColor="text1"/>
              </w:rPr>
              <w:t>)</w:t>
            </w:r>
            <w:r>
              <w:rPr>
                <w:color w:val="000000" w:themeColor="text1"/>
                <w:vertAlign w:val="superscript"/>
              </w:rPr>
              <w:t>2</w:t>
            </w:r>
            <w:r>
              <w:rPr>
                <w:color w:val="000000" w:themeColor="text1"/>
              </w:rPr>
              <w:t xml:space="preserve">) </w:t>
            </w:r>
            <w:r w:rsidRPr="00B56DDD">
              <w:rPr>
                <w:color w:val="000000" w:themeColor="text1"/>
              </w:rPr>
              <w:t xml:space="preserve">+ </w:t>
            </w:r>
            <w:r w:rsidRPr="00B56DDD">
              <w:rPr>
                <w:rFonts w:eastAsia="MS Gothic"/>
                <w:color w:val="000000" w:themeColor="text1"/>
              </w:rPr>
              <w:t>ε</w:t>
            </w:r>
          </w:p>
        </w:tc>
      </w:tr>
      <w:tr w:rsidR="00EE322E" w14:paraId="5EAC04D4" w14:textId="77777777" w:rsidTr="00953245">
        <w:tc>
          <w:tcPr>
            <w:tcW w:w="1183" w:type="dxa"/>
          </w:tcPr>
          <w:p w14:paraId="604E35A4" w14:textId="5FCC60E6" w:rsidR="00EE322E" w:rsidRPr="00CC4125" w:rsidRDefault="00EE322E" w:rsidP="00EE322E">
            <w:pPr>
              <w:pStyle w:val="NormalWeb"/>
              <w:rPr>
                <w:i/>
                <w:iCs/>
                <w:color w:val="000000" w:themeColor="text1"/>
              </w:rPr>
            </w:pPr>
            <w:r w:rsidRPr="00985C6E">
              <w:rPr>
                <w:i/>
                <w:iCs/>
                <w:color w:val="000000" w:themeColor="text1"/>
              </w:rPr>
              <w:t>b</w:t>
            </w:r>
            <w:r>
              <w:rPr>
                <w:color w:val="000000" w:themeColor="text1"/>
              </w:rPr>
              <w:t>(</w:t>
            </w:r>
            <w:r w:rsidRPr="00985C6E">
              <w:rPr>
                <w:i/>
                <w:iCs/>
                <w:color w:val="000000" w:themeColor="text1"/>
              </w:rPr>
              <w:t>z</w:t>
            </w:r>
            <w:r>
              <w:rPr>
                <w:color w:val="000000" w:themeColor="text1"/>
              </w:rPr>
              <w:t>)</w:t>
            </w:r>
          </w:p>
        </w:tc>
        <w:tc>
          <w:tcPr>
            <w:tcW w:w="2772" w:type="dxa"/>
          </w:tcPr>
          <w:p w14:paraId="336CBA1B" w14:textId="3EAE4613" w:rsidR="00EE322E" w:rsidRPr="00625275" w:rsidRDefault="00EE322E" w:rsidP="00EE322E">
            <w:pPr>
              <w:pStyle w:val="NormalWeb"/>
              <w:rPr>
                <w:i/>
                <w:iCs/>
                <w:color w:val="000000" w:themeColor="text1"/>
              </w:rPr>
            </w:pPr>
            <w:r>
              <w:rPr>
                <w:color w:val="000000" w:themeColor="text1"/>
              </w:rPr>
              <w:t xml:space="preserve">Seed production in </w:t>
            </w:r>
            <w:r>
              <w:rPr>
                <w:i/>
                <w:iCs/>
                <w:color w:val="000000" w:themeColor="text1"/>
              </w:rPr>
              <w:t>t</w:t>
            </w:r>
          </w:p>
        </w:tc>
        <w:tc>
          <w:tcPr>
            <w:tcW w:w="4320" w:type="dxa"/>
          </w:tcPr>
          <w:p w14:paraId="6D2C7C5E" w14:textId="3EC31DAB" w:rsidR="00EE322E" w:rsidRDefault="00EE322E" w:rsidP="00EE322E">
            <w:pPr>
              <w:pStyle w:val="NormalWeb"/>
              <w:jc w:val="both"/>
              <w:rPr>
                <w:i/>
                <w:iCs/>
                <w:color w:val="000000" w:themeColor="text1"/>
              </w:rPr>
            </w:pPr>
            <w:r>
              <w:rPr>
                <w:color w:val="000000" w:themeColor="text1"/>
              </w:rPr>
              <w:t xml:space="preserve">exp(seed number) ~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w:t>
            </w:r>
            <w:r w:rsidRPr="00B56DDD">
              <w:rPr>
                <w:color w:val="000000" w:themeColor="text1"/>
              </w:rPr>
              <w:t xml:space="preserve">+ </w:t>
            </w:r>
            <w:r w:rsidRPr="00B56DDD">
              <w:rPr>
                <w:rFonts w:eastAsia="MS Gothic"/>
                <w:color w:val="000000" w:themeColor="text1"/>
              </w:rPr>
              <w:t>ε</w:t>
            </w:r>
          </w:p>
        </w:tc>
      </w:tr>
      <w:tr w:rsidR="00EE322E" w14:paraId="20257D74" w14:textId="77777777" w:rsidTr="000633EE">
        <w:tc>
          <w:tcPr>
            <w:tcW w:w="1183" w:type="dxa"/>
          </w:tcPr>
          <w:p w14:paraId="3BB5DBC6" w14:textId="5E560FFF" w:rsidR="00EE322E" w:rsidRPr="00CC4125" w:rsidRDefault="00EE322E" w:rsidP="00EE322E">
            <w:pPr>
              <w:pStyle w:val="NormalWeb"/>
              <w:rPr>
                <w:i/>
                <w:iCs/>
                <w:color w:val="000000" w:themeColor="text1"/>
              </w:rPr>
            </w:pPr>
            <w:r>
              <w:rPr>
                <w:i/>
                <w:iCs/>
                <w:color w:val="000000" w:themeColor="text1"/>
              </w:rPr>
              <w:t>G</w:t>
            </w:r>
            <w:r w:rsidRPr="001A5F93">
              <w:rPr>
                <w:color w:val="000000" w:themeColor="text1"/>
              </w:rPr>
              <w:t>(</w:t>
            </w:r>
            <w:proofErr w:type="spellStart"/>
            <w:r>
              <w:rPr>
                <w:i/>
                <w:iCs/>
                <w:color w:val="000000" w:themeColor="text1"/>
              </w:rPr>
              <w:t>z’,z</w:t>
            </w:r>
            <w:proofErr w:type="spellEnd"/>
            <w:r w:rsidRPr="001A5F93">
              <w:rPr>
                <w:color w:val="000000" w:themeColor="text1"/>
              </w:rPr>
              <w:t>)</w:t>
            </w:r>
          </w:p>
        </w:tc>
        <w:tc>
          <w:tcPr>
            <w:tcW w:w="2772" w:type="dxa"/>
          </w:tcPr>
          <w:p w14:paraId="4ABD0BED" w14:textId="26B0928A" w:rsidR="00EE322E" w:rsidRPr="00625275" w:rsidRDefault="00EE322E" w:rsidP="00EE322E">
            <w:pPr>
              <w:pStyle w:val="NormalWeb"/>
              <w:rPr>
                <w:i/>
                <w:iCs/>
                <w:color w:val="000000" w:themeColor="text1"/>
              </w:rPr>
            </w:pPr>
            <w:r>
              <w:rPr>
                <w:color w:val="000000" w:themeColor="text1"/>
              </w:rPr>
              <w:t xml:space="preserve">Distribution of plant size in year </w:t>
            </w:r>
            <w:r>
              <w:rPr>
                <w:i/>
                <w:iCs/>
                <w:color w:val="000000" w:themeColor="text1"/>
              </w:rPr>
              <w:t>t</w:t>
            </w:r>
          </w:p>
        </w:tc>
        <w:tc>
          <w:tcPr>
            <w:tcW w:w="4320" w:type="dxa"/>
          </w:tcPr>
          <w:p w14:paraId="517F6A7F" w14:textId="17A3E169" w:rsidR="00EE322E" w:rsidRDefault="00EE322E" w:rsidP="000633EE">
            <w:pPr>
              <w:pStyle w:val="NormalWeb"/>
              <w:rPr>
                <w:i/>
                <w:iCs/>
                <w:color w:val="000000" w:themeColor="text1"/>
              </w:rPr>
            </w:pPr>
            <w:r>
              <w:rPr>
                <w:i/>
                <w:iCs/>
                <w:color w:val="000000" w:themeColor="text1"/>
              </w:rPr>
              <w:t>G</w:t>
            </w:r>
            <w:r w:rsidRPr="001A5F93">
              <w:rPr>
                <w:color w:val="000000" w:themeColor="text1"/>
              </w:rPr>
              <w:t>(</w:t>
            </w:r>
            <w:proofErr w:type="spellStart"/>
            <w:r>
              <w:rPr>
                <w:i/>
                <w:iCs/>
                <w:color w:val="000000" w:themeColor="text1"/>
              </w:rPr>
              <w:t>z’,</w:t>
            </w:r>
            <w:r w:rsidRPr="00607844">
              <w:rPr>
                <w:i/>
                <w:iCs/>
                <w:color w:val="000000" w:themeColor="text1"/>
              </w:rPr>
              <w:t>z</w:t>
            </w:r>
            <w:proofErr w:type="spellEnd"/>
            <w:r w:rsidRPr="00607844">
              <w:rPr>
                <w:color w:val="000000" w:themeColor="text1"/>
              </w:rPr>
              <w:t xml:space="preserve">) = </w:t>
            </w:r>
            <w:r w:rsidRPr="00607844">
              <w:rPr>
                <w:i/>
                <w:iCs/>
                <w:color w:val="000000" w:themeColor="text1"/>
              </w:rPr>
              <w:t>N</w:t>
            </w:r>
            <w:r>
              <w:rPr>
                <w:i/>
                <w:iCs/>
                <w:color w:val="000000" w:themeColor="text1"/>
              </w:rPr>
              <w:t xml:space="preserve"> </w:t>
            </w:r>
            <w:r w:rsidRPr="00607844">
              <w:rPr>
                <w:color w:val="000000" w:themeColor="text1"/>
              </w:rPr>
              <w:t>(</w:t>
            </w:r>
            <w:proofErr w:type="spellStart"/>
            <w:r w:rsidRPr="00607844">
              <w:rPr>
                <w:rFonts w:eastAsia="MS Gothic"/>
                <w:color w:val="000000" w:themeColor="text1"/>
              </w:rPr>
              <w:t>μ</w:t>
            </w:r>
            <w:r>
              <w:rPr>
                <w:rFonts w:eastAsia="MS Gothic"/>
                <w:color w:val="000000" w:themeColor="text1"/>
                <w:vertAlign w:val="subscript"/>
              </w:rPr>
              <w:t>s</w:t>
            </w:r>
            <w:proofErr w:type="spellEnd"/>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s</w:t>
            </w:r>
            <w:proofErr w:type="spellEnd"/>
            <w:r>
              <w:rPr>
                <w:rFonts w:eastAsia="MS Gothic"/>
                <w:color w:val="000000" w:themeColor="text1"/>
              </w:rPr>
              <w:t xml:space="preserve">);                                         </w:t>
            </w:r>
            <w:proofErr w:type="spellStart"/>
            <w:r w:rsidRPr="00607844">
              <w:rPr>
                <w:rFonts w:eastAsia="MS Gothic"/>
                <w:color w:val="000000" w:themeColor="text1"/>
              </w:rPr>
              <w:t>μ</w:t>
            </w:r>
            <w:r>
              <w:rPr>
                <w:rFonts w:eastAsia="MS Gothic"/>
                <w:color w:val="000000" w:themeColor="text1"/>
                <w:vertAlign w:val="subscript"/>
              </w:rPr>
              <w:t>s</w:t>
            </w:r>
            <w:proofErr w:type="spellEnd"/>
            <w:r>
              <w:rPr>
                <w:rFonts w:eastAsia="MS Gothic"/>
                <w:color w:val="000000" w:themeColor="text1"/>
                <w:vertAlign w:val="subscript"/>
              </w:rPr>
              <w:t xml:space="preserve"> </w:t>
            </w:r>
            <w:r>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 xml:space="preserve">) </w:t>
            </w:r>
            <w:r w:rsidRPr="00B56DDD">
              <w:rPr>
                <w:color w:val="000000" w:themeColor="text1"/>
              </w:rPr>
              <w:t xml:space="preserve">+ </w:t>
            </w:r>
            <w:r w:rsidRPr="00B56DDD">
              <w:rPr>
                <w:rFonts w:eastAsia="MS Gothic"/>
                <w:color w:val="000000" w:themeColor="text1"/>
              </w:rPr>
              <w:t>ε</w:t>
            </w:r>
            <w:r>
              <w:rPr>
                <w:rFonts w:eastAsia="MS Gothic"/>
                <w:color w:val="000000" w:themeColor="text1"/>
              </w:rPr>
              <w:t xml:space="preserve"> ;                    </w:t>
            </w:r>
            <w:proofErr w:type="spellStart"/>
            <w:r w:rsidRPr="00607844">
              <w:rPr>
                <w:rFonts w:eastAsia="MS Gothic"/>
                <w:color w:val="000000" w:themeColor="text1"/>
              </w:rPr>
              <w:t>σ</w:t>
            </w:r>
            <w:r>
              <w:rPr>
                <w:rFonts w:eastAsia="MS Gothic"/>
                <w:color w:val="000000" w:themeColor="text1"/>
                <w:vertAlign w:val="subscript"/>
              </w:rPr>
              <w:t>s</w:t>
            </w:r>
            <w:proofErr w:type="spellEnd"/>
            <w:r>
              <w:rPr>
                <w:rFonts w:eastAsia="MS Gothic"/>
                <w:color w:val="000000" w:themeColor="text1"/>
                <w:vertAlign w:val="superscript"/>
              </w:rPr>
              <w:t xml:space="preserve"> </w:t>
            </w:r>
            <w:r>
              <w:rPr>
                <w:rFonts w:eastAsia="MS Gothic"/>
                <w:color w:val="000000" w:themeColor="text1"/>
              </w:rPr>
              <w:t>~    RSE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Pr>
                <w:rFonts w:eastAsia="Arial Unicode MS"/>
                <w:color w:val="000000" w:themeColor="text1"/>
              </w:rPr>
              <w:t>(</w:t>
            </w:r>
            <w:r>
              <w:rPr>
                <w:color w:val="000000" w:themeColor="text1"/>
              </w:rPr>
              <w:t>log(</w:t>
            </w:r>
            <w:proofErr w:type="spellStart"/>
            <w:r w:rsidRPr="00B56DDD">
              <w:rPr>
                <w:color w:val="000000" w:themeColor="text1"/>
              </w:rPr>
              <w:t>size</w:t>
            </w:r>
            <w:r w:rsidRPr="00B56DDD">
              <w:rPr>
                <w:i/>
                <w:iCs/>
                <w:color w:val="000000" w:themeColor="text1"/>
                <w:vertAlign w:val="subscript"/>
              </w:rPr>
              <w:t>t</w:t>
            </w:r>
            <w:proofErr w:type="spellEnd"/>
            <w:r w:rsidRPr="00B56DDD">
              <w:rPr>
                <w:color w:val="000000" w:themeColor="text1"/>
              </w:rPr>
              <w:t>)</w:t>
            </w:r>
            <w:r>
              <w:rPr>
                <w:color w:val="000000" w:themeColor="text1"/>
              </w:rPr>
              <w:t xml:space="preserve">) </w:t>
            </w:r>
            <w:r w:rsidRPr="00B56DDD">
              <w:rPr>
                <w:color w:val="000000" w:themeColor="text1"/>
              </w:rPr>
              <w:t xml:space="preserve">+ </w:t>
            </w:r>
            <w:r w:rsidRPr="00B56DDD">
              <w:rPr>
                <w:rFonts w:eastAsia="MS Gothic"/>
                <w:color w:val="000000" w:themeColor="text1"/>
              </w:rPr>
              <w:t>ε</w:t>
            </w:r>
            <w:r>
              <w:rPr>
                <w:rFonts w:eastAsia="MS Gothic"/>
                <w:color w:val="000000" w:themeColor="text1"/>
              </w:rPr>
              <w:t>)</w:t>
            </w:r>
          </w:p>
        </w:tc>
      </w:tr>
      <w:tr w:rsidR="00EE322E" w14:paraId="23F28D43" w14:textId="77777777" w:rsidTr="000633EE">
        <w:tc>
          <w:tcPr>
            <w:tcW w:w="1183" w:type="dxa"/>
          </w:tcPr>
          <w:p w14:paraId="594A9385" w14:textId="16CBFDB0" w:rsidR="00EE322E" w:rsidRPr="00CC4125" w:rsidRDefault="00EE322E" w:rsidP="00EE322E">
            <w:pPr>
              <w:pStyle w:val="NormalWeb"/>
              <w:rPr>
                <w:i/>
                <w:iCs/>
                <w:color w:val="000000" w:themeColor="text1"/>
              </w:rPr>
            </w:pPr>
            <w:r>
              <w:rPr>
                <w:i/>
                <w:iCs/>
                <w:color w:val="000000" w:themeColor="text1"/>
              </w:rPr>
              <w:t>c</w:t>
            </w:r>
            <w:r w:rsidRPr="001A5F93">
              <w:rPr>
                <w:i/>
                <w:iCs/>
                <w:color w:val="000000" w:themeColor="text1"/>
                <w:vertAlign w:val="subscript"/>
              </w:rPr>
              <w:t>o</w:t>
            </w:r>
            <w:r w:rsidRPr="001A5F93">
              <w:rPr>
                <w:color w:val="000000" w:themeColor="text1"/>
              </w:rPr>
              <w:t>(</w:t>
            </w:r>
            <w:r>
              <w:rPr>
                <w:i/>
                <w:iCs/>
                <w:color w:val="000000" w:themeColor="text1"/>
              </w:rPr>
              <w:t>z’</w:t>
            </w:r>
            <w:r w:rsidRPr="001A5F93">
              <w:rPr>
                <w:color w:val="000000" w:themeColor="text1"/>
              </w:rPr>
              <w:t>)</w:t>
            </w:r>
          </w:p>
        </w:tc>
        <w:tc>
          <w:tcPr>
            <w:tcW w:w="2772" w:type="dxa"/>
          </w:tcPr>
          <w:p w14:paraId="1D0A40FE" w14:textId="2AD015BE" w:rsidR="00EE322E" w:rsidRPr="00625275" w:rsidRDefault="00EE322E" w:rsidP="00EE322E">
            <w:pPr>
              <w:pStyle w:val="NormalWeb"/>
              <w:rPr>
                <w:i/>
                <w:iCs/>
                <w:color w:val="000000" w:themeColor="text1"/>
              </w:rPr>
            </w:pPr>
            <w:r>
              <w:rPr>
                <w:color w:val="000000" w:themeColor="text1"/>
              </w:rPr>
              <w:t xml:space="preserve">Distribution of new recruit size in year </w:t>
            </w:r>
            <w:r>
              <w:rPr>
                <w:i/>
                <w:iCs/>
                <w:color w:val="000000" w:themeColor="text1"/>
              </w:rPr>
              <w:t>t</w:t>
            </w:r>
          </w:p>
        </w:tc>
        <w:tc>
          <w:tcPr>
            <w:tcW w:w="4320" w:type="dxa"/>
          </w:tcPr>
          <w:p w14:paraId="2D6C046D" w14:textId="0BDED479" w:rsidR="00EE322E" w:rsidRDefault="00EE322E" w:rsidP="000633EE">
            <w:pPr>
              <w:pStyle w:val="NormalWeb"/>
              <w:rPr>
                <w:i/>
                <w:iCs/>
                <w:color w:val="000000" w:themeColor="text1"/>
              </w:rPr>
            </w:pPr>
            <w:r>
              <w:rPr>
                <w:i/>
                <w:iCs/>
                <w:color w:val="000000" w:themeColor="text1"/>
              </w:rPr>
              <w:t>c</w:t>
            </w:r>
            <w:r w:rsidRPr="001A5F93">
              <w:rPr>
                <w:i/>
                <w:iCs/>
                <w:color w:val="000000" w:themeColor="text1"/>
                <w:vertAlign w:val="subscript"/>
              </w:rPr>
              <w:t>o</w:t>
            </w:r>
            <w:r w:rsidRPr="001A5F93">
              <w:rPr>
                <w:color w:val="000000" w:themeColor="text1"/>
              </w:rPr>
              <w:t>(</w:t>
            </w:r>
            <w:r>
              <w:rPr>
                <w:i/>
                <w:iCs/>
                <w:color w:val="000000" w:themeColor="text1"/>
              </w:rPr>
              <w:t>z’</w:t>
            </w:r>
            <w:r w:rsidRPr="001A5F93">
              <w:rPr>
                <w:color w:val="000000" w:themeColor="text1"/>
              </w:rPr>
              <w:t>)</w:t>
            </w:r>
            <w:r>
              <w:rPr>
                <w:color w:val="000000" w:themeColor="text1"/>
              </w:rPr>
              <w:t xml:space="preserve"> </w:t>
            </w:r>
            <w:r w:rsidRPr="00607844">
              <w:rPr>
                <w:color w:val="000000" w:themeColor="text1"/>
              </w:rPr>
              <w:t xml:space="preserve">= </w:t>
            </w:r>
            <w:r w:rsidRPr="00607844">
              <w:rPr>
                <w:i/>
                <w:iCs/>
                <w:color w:val="000000" w:themeColor="text1"/>
              </w:rPr>
              <w:t>N</w:t>
            </w:r>
            <w:r w:rsidRPr="00607844">
              <w:rPr>
                <w:color w:val="000000" w:themeColor="text1"/>
              </w:rPr>
              <w:t>(</w:t>
            </w:r>
            <w:proofErr w:type="spellStart"/>
            <w:r w:rsidRPr="00607844">
              <w:rPr>
                <w:rFonts w:eastAsia="MS Gothic"/>
                <w:color w:val="000000" w:themeColor="text1"/>
              </w:rPr>
              <w:t>μ</w:t>
            </w:r>
            <w:r>
              <w:rPr>
                <w:rFonts w:eastAsia="MS Gothic"/>
                <w:color w:val="000000" w:themeColor="text1"/>
                <w:vertAlign w:val="subscript"/>
              </w:rPr>
              <w:t>r</w:t>
            </w:r>
            <w:proofErr w:type="spellEnd"/>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r</w:t>
            </w:r>
            <w:proofErr w:type="spellEnd"/>
            <w:r>
              <w:rPr>
                <w:rFonts w:eastAsia="MS Gothic"/>
                <w:color w:val="000000" w:themeColor="text1"/>
              </w:rPr>
              <w:t xml:space="preserve">);                                       </w:t>
            </w:r>
            <w:proofErr w:type="spellStart"/>
            <w:r w:rsidRPr="00607844">
              <w:rPr>
                <w:rFonts w:eastAsia="MS Gothic"/>
                <w:color w:val="000000" w:themeColor="text1"/>
              </w:rPr>
              <w:t>μ</w:t>
            </w:r>
            <w:r>
              <w:rPr>
                <w:rFonts w:eastAsia="MS Gothic"/>
                <w:color w:val="000000" w:themeColor="text1"/>
                <w:vertAlign w:val="subscript"/>
              </w:rPr>
              <w:t>r</w:t>
            </w:r>
            <w:proofErr w:type="spellEnd"/>
            <w:r>
              <w:rPr>
                <w:rFonts w:eastAsia="MS Gothic"/>
                <w:color w:val="000000" w:themeColor="text1"/>
                <w:vertAlign w:val="subscript"/>
              </w:rPr>
              <w:t xml:space="preserve"> </w:t>
            </w:r>
            <w:r>
              <w:rPr>
                <w:color w:val="000000" w:themeColor="text1"/>
              </w:rPr>
              <w:t xml:space="preserve">=  </w:t>
            </w:r>
            <w:r>
              <w:rPr>
                <w:rFonts w:eastAsia="Arial Unicode MS"/>
                <w:color w:val="000000" w:themeColor="text1"/>
              </w:rPr>
              <w:t xml:space="preserve">mean (size of recruits in </w:t>
            </w:r>
            <w:r>
              <w:rPr>
                <w:rFonts w:eastAsia="Arial Unicode MS"/>
                <w:i/>
                <w:iCs/>
                <w:color w:val="000000" w:themeColor="text1"/>
              </w:rPr>
              <w:t>t</w:t>
            </w:r>
            <w:r>
              <w:rPr>
                <w:rFonts w:eastAsia="Arial Unicode MS"/>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r</w:t>
            </w:r>
            <w:proofErr w:type="spellEnd"/>
            <w:r>
              <w:rPr>
                <w:rFonts w:eastAsia="MS Gothic"/>
                <w:color w:val="000000" w:themeColor="text1"/>
              </w:rPr>
              <w:t xml:space="preserve"> = </w:t>
            </w:r>
            <w:proofErr w:type="spellStart"/>
            <w:r>
              <w:rPr>
                <w:rFonts w:eastAsia="MS Gothic"/>
                <w:color w:val="000000" w:themeColor="text1"/>
              </w:rPr>
              <w:t>stnd</w:t>
            </w:r>
            <w:proofErr w:type="spellEnd"/>
            <w:r>
              <w:rPr>
                <w:rFonts w:eastAsia="MS Gothic"/>
                <w:color w:val="000000" w:themeColor="text1"/>
              </w:rPr>
              <w:t xml:space="preserve">. dev. (size of recruits in </w:t>
            </w:r>
            <w:r>
              <w:rPr>
                <w:rFonts w:eastAsia="MS Gothic"/>
                <w:i/>
                <w:iCs/>
                <w:color w:val="000000" w:themeColor="text1"/>
              </w:rPr>
              <w:t>t</w:t>
            </w:r>
            <w:r>
              <w:rPr>
                <w:rFonts w:eastAsia="MS Gothic"/>
                <w:color w:val="000000" w:themeColor="text1"/>
              </w:rPr>
              <w:t>)</w:t>
            </w:r>
          </w:p>
        </w:tc>
      </w:tr>
    </w:tbl>
    <w:p w14:paraId="548FC5BA" w14:textId="5F0F030C" w:rsidR="00D824D8" w:rsidRDefault="00D824D8" w:rsidP="00D824D8"/>
    <w:p w14:paraId="3DE606EE" w14:textId="07FBA2B2" w:rsidR="00D824D8" w:rsidRPr="00D85EFD" w:rsidRDefault="00D824D8" w:rsidP="00D85EFD">
      <w:pPr>
        <w:pStyle w:val="NormalWeb"/>
        <w:spacing w:line="480" w:lineRule="auto"/>
        <w:rPr>
          <w:color w:val="000000" w:themeColor="text1"/>
        </w:rPr>
      </w:pPr>
      <w:r>
        <w:rPr>
          <w:color w:val="000000" w:themeColor="text1"/>
        </w:rPr>
        <w:t>* RSE = residual standard error</w:t>
      </w:r>
    </w:p>
    <w:p w14:paraId="30248E7F" w14:textId="24DC2DD6" w:rsidR="008F552C" w:rsidRDefault="00E83D4F" w:rsidP="00830A9D">
      <w:pPr>
        <w:pStyle w:val="NormalWeb"/>
        <w:spacing w:line="480" w:lineRule="auto"/>
        <w:ind w:firstLine="360"/>
        <w:rPr>
          <w:i/>
          <w:iCs/>
          <w:color w:val="000000" w:themeColor="text1"/>
        </w:rPr>
      </w:pPr>
      <w:r>
        <w:rPr>
          <w:color w:val="000000" w:themeColor="text1"/>
        </w:rPr>
        <w:t xml:space="preserve">We </w:t>
      </w:r>
      <w:r w:rsidR="00871DF7">
        <w:rPr>
          <w:color w:val="000000" w:themeColor="text1"/>
        </w:rPr>
        <w:t xml:space="preserve">estimated </w:t>
      </w:r>
      <w:r>
        <w:rPr>
          <w:color w:val="000000" w:themeColor="text1"/>
        </w:rPr>
        <w:t xml:space="preserve">discrete vital rates </w:t>
      </w:r>
      <w:r w:rsidR="00871DF7">
        <w:rPr>
          <w:color w:val="000000" w:themeColor="text1"/>
        </w:rPr>
        <w:t xml:space="preserve">for seeds </w:t>
      </w:r>
      <w:r>
        <w:rPr>
          <w:color w:val="000000" w:themeColor="text1"/>
        </w:rPr>
        <w:t xml:space="preserve">using </w:t>
      </w:r>
      <w:r w:rsidR="000634AC">
        <w:rPr>
          <w:color w:val="000000" w:themeColor="text1"/>
        </w:rPr>
        <w:t>data from both greenhouse and field-based germination and seed vi</w:t>
      </w:r>
      <w:r w:rsidR="00871DF7">
        <w:rPr>
          <w:color w:val="000000" w:themeColor="text1"/>
        </w:rPr>
        <w:t>ability</w:t>
      </w:r>
      <w:r w:rsidR="000634AC">
        <w:rPr>
          <w:color w:val="000000" w:themeColor="text1"/>
        </w:rPr>
        <w:t xml:space="preserve"> studies.</w:t>
      </w:r>
      <w:r w:rsidR="00871DF7">
        <w:rPr>
          <w:color w:val="000000" w:themeColor="text1"/>
        </w:rPr>
        <w:t xml:space="preserve"> Previously-published data from a greenhouse experiment using </w:t>
      </w:r>
      <w:r w:rsidR="00871DF7">
        <w:rPr>
          <w:i/>
          <w:iCs/>
          <w:color w:val="000000" w:themeColor="text1"/>
        </w:rPr>
        <w:t>O. coloradensis</w:t>
      </w:r>
      <w:r w:rsidR="00871DF7">
        <w:rPr>
          <w:color w:val="000000" w:themeColor="text1"/>
        </w:rPr>
        <w:t xml:space="preserve"> seed capsules collected from the FEWAFB populations </w:t>
      </w:r>
      <w:r w:rsidR="00C87536">
        <w:rPr>
          <w:color w:val="000000" w:themeColor="text1"/>
        </w:rPr>
        <w:t>determined that viable seeds ha</w:t>
      </w:r>
      <w:r w:rsidR="00145867">
        <w:rPr>
          <w:color w:val="000000" w:themeColor="text1"/>
        </w:rPr>
        <w:t>d</w:t>
      </w:r>
      <w:r w:rsidR="00C87536">
        <w:rPr>
          <w:color w:val="000000" w:themeColor="text1"/>
        </w:rPr>
        <w:t xml:space="preserve"> an average germination rate of 20.3%</w:t>
      </w:r>
      <w:r w:rsidR="007A647D">
        <w:rPr>
          <w:color w:val="000000" w:themeColor="text1"/>
        </w:rPr>
        <w:t xml:space="preserve"> after cold-stratification</w:t>
      </w:r>
      <w:r w:rsidR="00C87536">
        <w:rPr>
          <w:color w:val="000000" w:themeColor="text1"/>
        </w:rPr>
        <w:t xml:space="preserve">, and did not identify a consistent decline in germination rate over five years </w:t>
      </w:r>
      <w:r w:rsidR="00C87536">
        <w:rPr>
          <w:color w:val="000000" w:themeColor="text1"/>
        </w:rPr>
        <w:fldChar w:fldCharType="begin" w:fldLock="1"/>
      </w:r>
      <w:r w:rsidR="00143F37">
        <w:rPr>
          <w:color w:val="000000" w:themeColor="text1"/>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C87536">
        <w:rPr>
          <w:color w:val="000000" w:themeColor="text1"/>
        </w:rPr>
        <w:fldChar w:fldCharType="separate"/>
      </w:r>
      <w:r w:rsidR="0002340D" w:rsidRPr="0002340D">
        <w:rPr>
          <w:noProof/>
          <w:color w:val="000000" w:themeColor="text1"/>
        </w:rPr>
        <w:t>(Burgess et al. 2005)</w:t>
      </w:r>
      <w:r w:rsidR="00C87536">
        <w:rPr>
          <w:color w:val="000000" w:themeColor="text1"/>
        </w:rPr>
        <w:fldChar w:fldCharType="end"/>
      </w:r>
      <w:r w:rsidR="00C87536">
        <w:rPr>
          <w:color w:val="000000" w:themeColor="text1"/>
        </w:rPr>
        <w:t>.</w:t>
      </w:r>
      <w:r w:rsidR="00F54474">
        <w:rPr>
          <w:color w:val="000000" w:themeColor="text1"/>
        </w:rPr>
        <w:t xml:space="preserve"> This study also found that </w:t>
      </w:r>
      <w:r w:rsidR="00145867">
        <w:rPr>
          <w:color w:val="000000" w:themeColor="text1"/>
        </w:rPr>
        <w:t xml:space="preserve">a seed capsule contained an average of 1.7 seeds, and that </w:t>
      </w:r>
      <w:r w:rsidR="00FC2C41">
        <w:rPr>
          <w:color w:val="000000" w:themeColor="text1"/>
        </w:rPr>
        <w:t xml:space="preserve">58.5% of seeds produced </w:t>
      </w:r>
      <w:r w:rsidR="004144A1">
        <w:rPr>
          <w:color w:val="000000" w:themeColor="text1"/>
        </w:rPr>
        <w:t xml:space="preserve">were </w:t>
      </w:r>
      <w:r w:rsidR="00FC2C41">
        <w:rPr>
          <w:color w:val="000000" w:themeColor="text1"/>
        </w:rPr>
        <w:t>viable.</w:t>
      </w:r>
      <w:r w:rsidR="004144A1">
        <w:rPr>
          <w:color w:val="000000" w:themeColor="text1"/>
        </w:rPr>
        <w:t xml:space="preserve"> </w:t>
      </w:r>
      <w:r w:rsidR="007A647D">
        <w:rPr>
          <w:color w:val="000000" w:themeColor="text1"/>
        </w:rPr>
        <w:t xml:space="preserve">We conducted an additional seed study to determine </w:t>
      </w:r>
      <w:r w:rsidR="0095410E">
        <w:rPr>
          <w:color w:val="000000" w:themeColor="text1"/>
        </w:rPr>
        <w:t>if</w:t>
      </w:r>
      <w:r w:rsidR="007A647D">
        <w:rPr>
          <w:color w:val="000000" w:themeColor="text1"/>
        </w:rPr>
        <w:t xml:space="preserve"> overwintering in natural conditions </w:t>
      </w:r>
      <w:r w:rsidR="0095410E">
        <w:rPr>
          <w:color w:val="000000" w:themeColor="text1"/>
        </w:rPr>
        <w:t>lead to a lower germination rate than was identified in the previous greenhouse study. W</w:t>
      </w:r>
      <w:r w:rsidR="004144A1">
        <w:rPr>
          <w:color w:val="000000" w:themeColor="text1"/>
        </w:rPr>
        <w:t>e</w:t>
      </w:r>
      <w:r w:rsidR="0095410E">
        <w:rPr>
          <w:color w:val="000000" w:themeColor="text1"/>
        </w:rPr>
        <w:t xml:space="preserve"> </w:t>
      </w:r>
      <w:r w:rsidR="004144A1">
        <w:rPr>
          <w:color w:val="000000" w:themeColor="text1"/>
        </w:rPr>
        <w:t xml:space="preserve">buried </w:t>
      </w:r>
      <w:r w:rsidR="00163CA7">
        <w:rPr>
          <w:color w:val="000000" w:themeColor="text1"/>
        </w:rPr>
        <w:t xml:space="preserve">60 </w:t>
      </w:r>
      <w:r w:rsidR="007A647D">
        <w:rPr>
          <w:color w:val="000000" w:themeColor="text1"/>
        </w:rPr>
        <w:t>field-collected seed capsules</w:t>
      </w:r>
      <w:r w:rsidR="0095410E">
        <w:rPr>
          <w:color w:val="000000" w:themeColor="text1"/>
        </w:rPr>
        <w:t xml:space="preserve"> in mesh bags</w:t>
      </w:r>
      <w:r w:rsidR="007A647D">
        <w:rPr>
          <w:color w:val="000000" w:themeColor="text1"/>
        </w:rPr>
        <w:t xml:space="preserve"> </w:t>
      </w:r>
      <w:r w:rsidR="0095410E">
        <w:rPr>
          <w:color w:val="000000" w:themeColor="text1"/>
        </w:rPr>
        <w:t xml:space="preserve">at </w:t>
      </w:r>
      <w:r w:rsidR="00163CA7">
        <w:rPr>
          <w:color w:val="000000" w:themeColor="text1"/>
        </w:rPr>
        <w:t>6</w:t>
      </w:r>
      <w:r w:rsidR="0095410E">
        <w:rPr>
          <w:color w:val="000000" w:themeColor="text1"/>
        </w:rPr>
        <w:t xml:space="preserve"> locations </w:t>
      </w:r>
      <w:r w:rsidR="007A647D">
        <w:rPr>
          <w:color w:val="000000" w:themeColor="text1"/>
        </w:rPr>
        <w:t>near our demographic study plots</w:t>
      </w:r>
      <w:r w:rsidR="0095410E">
        <w:rPr>
          <w:color w:val="000000" w:themeColor="text1"/>
        </w:rPr>
        <w:t xml:space="preserve"> at FEWAFB</w:t>
      </w:r>
      <w:r w:rsidR="00163CA7">
        <w:rPr>
          <w:color w:val="000000" w:themeColor="text1"/>
        </w:rPr>
        <w:t xml:space="preserve">, and then </w:t>
      </w:r>
      <w:r w:rsidR="0095410E">
        <w:rPr>
          <w:color w:val="000000" w:themeColor="text1"/>
        </w:rPr>
        <w:t>recovered the</w:t>
      </w:r>
      <w:r w:rsidR="00716F82">
        <w:rPr>
          <w:color w:val="000000" w:themeColor="text1"/>
        </w:rPr>
        <w:t xml:space="preserve"> seed bags</w:t>
      </w:r>
      <w:r w:rsidR="0095410E">
        <w:rPr>
          <w:color w:val="000000" w:themeColor="text1"/>
        </w:rPr>
        <w:t xml:space="preserve"> after one winter</w:t>
      </w:r>
      <w:r w:rsidR="00716F82">
        <w:rPr>
          <w:color w:val="000000" w:themeColor="text1"/>
        </w:rPr>
        <w:t>.</w:t>
      </w:r>
      <w:r w:rsidR="006D4283">
        <w:rPr>
          <w:color w:val="000000" w:themeColor="text1"/>
        </w:rPr>
        <w:t xml:space="preserve"> </w:t>
      </w:r>
      <w:r w:rsidR="00163CA7">
        <w:rPr>
          <w:color w:val="000000" w:themeColor="text1"/>
        </w:rPr>
        <w:t>An average of 10% of seed capsules were not recoverable</w:t>
      </w:r>
      <w:r w:rsidR="002F7AAC">
        <w:rPr>
          <w:color w:val="000000" w:themeColor="text1"/>
        </w:rPr>
        <w:t>, likely because they were non-viable and withered away or were eaten</w:t>
      </w:r>
      <w:r w:rsidR="00163CA7">
        <w:rPr>
          <w:color w:val="000000" w:themeColor="text1"/>
        </w:rPr>
        <w:t>. We planted the recovered capsules in standard greenhouse conditions</w:t>
      </w:r>
      <w:r w:rsidR="008A3D55">
        <w:rPr>
          <w:color w:val="000000" w:themeColor="text1"/>
        </w:rPr>
        <w:t xml:space="preserve">, and found a </w:t>
      </w:r>
      <w:r w:rsidR="008B68C1">
        <w:rPr>
          <w:color w:val="000000" w:themeColor="text1"/>
        </w:rPr>
        <w:t xml:space="preserve">mean </w:t>
      </w:r>
      <w:r w:rsidR="008A3D55">
        <w:rPr>
          <w:color w:val="000000" w:themeColor="text1"/>
        </w:rPr>
        <w:t>germination rate of 6.8%.</w:t>
      </w:r>
      <w:r w:rsidR="00A15210">
        <w:rPr>
          <w:color w:val="000000" w:themeColor="text1"/>
        </w:rPr>
        <w:t xml:space="preserve"> This germination rate was much lower than </w:t>
      </w:r>
      <w:r w:rsidR="00B055AE">
        <w:rPr>
          <w:color w:val="000000" w:themeColor="text1"/>
        </w:rPr>
        <w:t>that</w:t>
      </w:r>
      <w:r w:rsidR="00A15210">
        <w:rPr>
          <w:color w:val="000000" w:themeColor="text1"/>
        </w:rPr>
        <w:t xml:space="preserve"> identified by Burgess et al., </w:t>
      </w:r>
      <w:r w:rsidR="00B055AE">
        <w:rPr>
          <w:color w:val="000000" w:themeColor="text1"/>
        </w:rPr>
        <w:t>however our seed study had a much smaller sample size, which reduces the credibility of our result. However, it is still likely that</w:t>
      </w:r>
      <w:r w:rsidR="00751998">
        <w:rPr>
          <w:color w:val="000000" w:themeColor="text1"/>
        </w:rPr>
        <w:t xml:space="preserve"> </w:t>
      </w:r>
      <w:r w:rsidR="002F7AAC">
        <w:rPr>
          <w:color w:val="000000" w:themeColor="text1"/>
        </w:rPr>
        <w:t>true germination rates are much lower than those identified in greenhouse conditions, so we reduced the germination rate identified in Burgess, et al. by 20%.</w:t>
      </w:r>
      <w:r w:rsidR="005E667C">
        <w:rPr>
          <w:color w:val="000000" w:themeColor="text1"/>
        </w:rPr>
        <w:t xml:space="preserve"> </w:t>
      </w:r>
      <w:r w:rsidR="00461866">
        <w:rPr>
          <w:color w:val="000000" w:themeColor="text1"/>
        </w:rPr>
        <w:t>The</w:t>
      </w:r>
      <w:r w:rsidR="003D463A">
        <w:rPr>
          <w:color w:val="000000" w:themeColor="text1"/>
        </w:rPr>
        <w:t>se</w:t>
      </w:r>
      <w:r w:rsidR="00461866">
        <w:rPr>
          <w:color w:val="000000" w:themeColor="text1"/>
        </w:rPr>
        <w:t xml:space="preserve"> </w:t>
      </w:r>
      <w:r w:rsidR="003D463A">
        <w:rPr>
          <w:color w:val="000000" w:themeColor="text1"/>
        </w:rPr>
        <w:t xml:space="preserve">were the </w:t>
      </w:r>
      <w:r w:rsidR="00461866">
        <w:rPr>
          <w:color w:val="000000" w:themeColor="text1"/>
        </w:rPr>
        <w:t>parameters we used to estimate the discrete seed vital rate parameters</w:t>
      </w:r>
      <w:r w:rsidR="003D463A">
        <w:rPr>
          <w:color w:val="000000" w:themeColor="text1"/>
        </w:rPr>
        <w:t xml:space="preserve">: viable seed </w:t>
      </w:r>
      <w:r w:rsidR="00461866">
        <w:rPr>
          <w:color w:val="000000" w:themeColor="text1"/>
        </w:rPr>
        <w:t>germination rate</w:t>
      </w:r>
      <w:r w:rsidR="00625275">
        <w:rPr>
          <w:color w:val="000000" w:themeColor="text1"/>
        </w:rPr>
        <w:t xml:space="preserve"> (germ. rate)</w:t>
      </w:r>
      <w:r w:rsidR="00461866">
        <w:rPr>
          <w:color w:val="000000" w:themeColor="text1"/>
        </w:rPr>
        <w:t xml:space="preserve"> = </w:t>
      </w:r>
      <w:r w:rsidR="003D463A">
        <w:rPr>
          <w:color w:val="000000" w:themeColor="text1"/>
        </w:rPr>
        <w:t>0.16, viability rate of seeds produced by a parent plant</w:t>
      </w:r>
      <w:r w:rsidR="00625275">
        <w:rPr>
          <w:color w:val="000000" w:themeColor="text1"/>
        </w:rPr>
        <w:t xml:space="preserve"> (</w:t>
      </w:r>
      <w:proofErr w:type="spellStart"/>
      <w:r w:rsidR="00625275">
        <w:rPr>
          <w:color w:val="000000" w:themeColor="text1"/>
        </w:rPr>
        <w:t>viab</w:t>
      </w:r>
      <w:proofErr w:type="spellEnd"/>
      <w:r w:rsidR="00625275">
        <w:rPr>
          <w:color w:val="000000" w:themeColor="text1"/>
        </w:rPr>
        <w:t>. rate)</w:t>
      </w:r>
      <w:r w:rsidR="003D463A">
        <w:rPr>
          <w:color w:val="000000" w:themeColor="text1"/>
        </w:rPr>
        <w:t xml:space="preserve"> = 0.58, rate </w:t>
      </w:r>
      <w:r w:rsidR="00830A9D">
        <w:rPr>
          <w:color w:val="000000" w:themeColor="text1"/>
        </w:rPr>
        <w:t xml:space="preserve">of natural seed death in the seedbank </w:t>
      </w:r>
      <w:r w:rsidR="00625275">
        <w:rPr>
          <w:color w:val="000000" w:themeColor="text1"/>
        </w:rPr>
        <w:t xml:space="preserve">(death rate) </w:t>
      </w:r>
      <w:r w:rsidR="00830A9D">
        <w:rPr>
          <w:color w:val="000000" w:themeColor="text1"/>
        </w:rPr>
        <w:t xml:space="preserve">= 0.10. </w:t>
      </w:r>
      <w:r w:rsidR="005E667C">
        <w:rPr>
          <w:color w:val="000000" w:themeColor="text1"/>
        </w:rPr>
        <w:t xml:space="preserve">We did not have the data required to determine how </w:t>
      </w:r>
      <w:r w:rsidR="00461866">
        <w:rPr>
          <w:color w:val="000000" w:themeColor="text1"/>
        </w:rPr>
        <w:t>these</w:t>
      </w:r>
      <w:r w:rsidR="005E667C">
        <w:rPr>
          <w:color w:val="000000" w:themeColor="text1"/>
        </w:rPr>
        <w:t xml:space="preserve"> rates changed </w:t>
      </w:r>
      <w:r w:rsidR="00461866">
        <w:rPr>
          <w:color w:val="000000" w:themeColor="text1"/>
        </w:rPr>
        <w:t>across</w:t>
      </w:r>
      <w:r w:rsidR="005E667C">
        <w:rPr>
          <w:color w:val="000000" w:themeColor="text1"/>
        </w:rPr>
        <w:t xml:space="preserve"> subpopulation</w:t>
      </w:r>
      <w:r w:rsidR="00461866">
        <w:rPr>
          <w:color w:val="000000" w:themeColor="text1"/>
        </w:rPr>
        <w:t>s</w:t>
      </w:r>
      <w:r w:rsidR="005E667C">
        <w:rPr>
          <w:color w:val="000000" w:themeColor="text1"/>
        </w:rPr>
        <w:t xml:space="preserve"> or </w:t>
      </w:r>
      <w:r w:rsidR="00461866">
        <w:rPr>
          <w:color w:val="000000" w:themeColor="text1"/>
        </w:rPr>
        <w:t>in response to abiotic variation, so we used the same seed vital rates for all IPM models</w:t>
      </w:r>
      <w:r w:rsidR="000B6EDB">
        <w:rPr>
          <w:color w:val="000000" w:themeColor="text1"/>
        </w:rPr>
        <w:t xml:space="preserve"> (Table 2)</w:t>
      </w:r>
      <w:r w:rsidR="00461866">
        <w:rPr>
          <w:color w:val="000000" w:themeColor="text1"/>
        </w:rPr>
        <w:t xml:space="preserve">.   </w:t>
      </w:r>
    </w:p>
    <w:p w14:paraId="09CD8EC3" w14:textId="213A2F2E" w:rsidR="00B908C1" w:rsidRPr="00895965" w:rsidRDefault="00B809AF" w:rsidP="00895965">
      <w:pPr>
        <w:pStyle w:val="NormalWeb"/>
        <w:spacing w:line="480" w:lineRule="auto"/>
        <w:ind w:firstLine="360"/>
        <w:rPr>
          <w:rFonts w:eastAsia="HGSMinchoE"/>
          <w:color w:val="538135" w:themeColor="accent6" w:themeShade="BF"/>
        </w:rPr>
      </w:pPr>
      <w:r w:rsidRPr="00FE20A0">
        <w:rPr>
          <w:color w:val="7030A0"/>
        </w:rPr>
        <w:t xml:space="preserve">We used </w:t>
      </w:r>
      <w:r w:rsidR="00341BFA">
        <w:rPr>
          <w:color w:val="7030A0"/>
        </w:rPr>
        <w:t xml:space="preserve">these vital rate functions and discrete parameters described above to construct </w:t>
      </w:r>
      <w:r w:rsidR="00DB686C">
        <w:rPr>
          <w:color w:val="7030A0"/>
        </w:rPr>
        <w:t xml:space="preserve">discretized IPM kernels. All kernels were made using the “midpoint rule” method </w:t>
      </w:r>
      <w:r w:rsidR="00DB686C">
        <w:rPr>
          <w:color w:val="7030A0"/>
        </w:rPr>
        <w:fldChar w:fldCharType="begin" w:fldLock="1"/>
      </w:r>
      <w:r w:rsidR="0094498A">
        <w:rPr>
          <w:color w:val="7030A0"/>
        </w:rPr>
        <w:instrText>ADDIN CSL_CITATION {"citationItems":[{"id":"ITEM-1","itemData":{"DOI":"10.1890/0012-9658(2000)081[0694:SSSAAN]2.0.CO;2","ISBN":"0012-9658","ISSN":"0012-9658","PMID":"22149683","abstract":"Matrix population models require the population to be divided into discrete stage classes. In many cases, especially when classes are defined by a continuous variable, such as length or mass, there are no natural breakpoints, and the division is artificial. We introduce the ‘‘integral projection model,’’ which eliminates the need for division into discrete classes, without requiring any additional biological assumptions. Like a traditional matrix model, the integral projection model provides estimates of the asymptotic growth rate, stable size distribution, reproductive values, and sensitivities of the growth rate to changes in vital rates. However, where the matrix model represents the size distributions, reproductive value, and sensitivities as step functions (constant within a stage class), the integral projection model yields smooth curves for each of these as a function of individual size. We describe a method for fitting the model to data, and we apply this method to data on an endangered plant species, northern monkshood (Aconitum noveboracense), with in- dividuals classified by stem diameter. The matrix and integral models yield similar estimates of the asymptotic growth rate, but the reproductive values and sensitivities in the matrix model are sensitive to the choice of stage classes. The integral projection model avoids this problem and yields size-specific sensitivities that are not affected by stage duration. These general properties of the integral projection model will make it advantageous for other populations where there is no natural division of individuals into stage classes.","author":[{"dropping-particle":"","family":"Easterling","given":"Michael R.","non-dropping-particle":"","parse-names":false,"suffix":""},{"dropping-particle":"","family":"Ellner","given":"Stephen P.","non-dropping-particle":"","parse-names":false,"suffix":""},{"dropping-particle":"","family":"Dixon","given":"Philip M.","non-dropping-particle":"","parse-names":false,"suffix":""}],"container-title":"Ecology","id":"ITEM-1","issue":"3","issued":{"date-parts":[["2000"]]},"page":"694-708","title":"Size-Specific Sensitivity: Applying a New Structured Population Model","type":"article-journal","volume":"81"},"uris":["http://www.mendeley.com/documents/?uuid=c8fce039-4f2b-4c81-8125-990a295153a0"]}],"mendeley":{"formattedCitation":"(Easterling et al. 2000)","plainTextFormattedCitation":"(Easterling et al. 2000)","previouslyFormattedCitation":"(Easterling et al. 2000)"},"properties":{"noteIndex":0},"schema":"https://github.com/citation-style-language/schema/raw/master/csl-citation.json"}</w:instrText>
      </w:r>
      <w:r w:rsidR="00DB686C">
        <w:rPr>
          <w:color w:val="7030A0"/>
        </w:rPr>
        <w:fldChar w:fldCharType="separate"/>
      </w:r>
      <w:r w:rsidR="00DB686C" w:rsidRPr="00DB686C">
        <w:rPr>
          <w:noProof/>
          <w:color w:val="7030A0"/>
        </w:rPr>
        <w:t>(Easterling et al. 2000)</w:t>
      </w:r>
      <w:r w:rsidR="00DB686C">
        <w:rPr>
          <w:color w:val="7030A0"/>
        </w:rPr>
        <w:fldChar w:fldCharType="end"/>
      </w:r>
      <w:r w:rsidR="00DB686C">
        <w:rPr>
          <w:color w:val="7030A0"/>
        </w:rPr>
        <w:t xml:space="preserve"> with 500 bins, an upper size limit corresponding to 120% of the</w:t>
      </w:r>
      <w:r w:rsidR="00DB686C" w:rsidRPr="00DB686C">
        <w:rPr>
          <w:color w:val="7030A0"/>
        </w:rPr>
        <w:t xml:space="preserve"> </w:t>
      </w:r>
      <w:r w:rsidR="00DB686C">
        <w:rPr>
          <w:color w:val="7030A0"/>
        </w:rPr>
        <w:t>maximum observed plant size and a lower size limit corresponding to 80% of the minimum observed plant size. We then</w:t>
      </w:r>
      <w:r w:rsidR="001B611D">
        <w:rPr>
          <w:color w:val="7030A0"/>
        </w:rPr>
        <w:t xml:space="preserve"> used </w:t>
      </w:r>
      <w:r w:rsidR="00DB686C">
        <w:rPr>
          <w:color w:val="7030A0"/>
        </w:rPr>
        <w:t xml:space="preserve">eigen analysis </w:t>
      </w:r>
      <w:r w:rsidR="0094498A">
        <w:rPr>
          <w:color w:val="7030A0"/>
        </w:rPr>
        <w:t xml:space="preserve">of these kernels </w:t>
      </w:r>
      <w:r w:rsidR="001B611D">
        <w:rPr>
          <w:color w:val="7030A0"/>
        </w:rPr>
        <w:t>to estimate</w:t>
      </w:r>
      <w:r w:rsidR="00F5682B" w:rsidRPr="00341BFA">
        <w:rPr>
          <w:color w:val="7030A0"/>
        </w:rPr>
        <w:t xml:space="preserve"> </w:t>
      </w:r>
      <w:r w:rsidR="00DB686C">
        <w:rPr>
          <w:color w:val="7030A0"/>
        </w:rPr>
        <w:t xml:space="preserve">asymptotic </w:t>
      </w:r>
      <w:r w:rsidR="00F5682B" w:rsidRPr="00341BFA">
        <w:rPr>
          <w:color w:val="7030A0"/>
        </w:rPr>
        <w:t xml:space="preserve">population growth rate, </w:t>
      </w:r>
      <w:r w:rsidR="00341BFA" w:rsidRPr="00341BFA">
        <w:rPr>
          <w:rFonts w:eastAsia="HGSMinchoE"/>
          <w:color w:val="7030A0"/>
        </w:rPr>
        <w:t>λ</w:t>
      </w:r>
      <w:r w:rsidR="001B611D">
        <w:rPr>
          <w:rFonts w:eastAsia="HGSMinchoE"/>
          <w:color w:val="7030A0"/>
        </w:rPr>
        <w:t>,</w:t>
      </w:r>
      <w:r w:rsidR="00DB686C">
        <w:rPr>
          <w:rFonts w:eastAsia="HGSMinchoE"/>
          <w:color w:val="7030A0"/>
        </w:rPr>
        <w:t xml:space="preserve"> </w:t>
      </w:r>
      <w:r w:rsidR="00895965">
        <w:rPr>
          <w:rFonts w:eastAsia="HGSMinchoE"/>
          <w:color w:val="7030A0"/>
        </w:rPr>
        <w:t xml:space="preserve">damping ratio, </w:t>
      </w:r>
      <w:r w:rsidR="00DB686C">
        <w:rPr>
          <w:rFonts w:eastAsia="HGSMinchoE"/>
          <w:color w:val="7030A0"/>
        </w:rPr>
        <w:t xml:space="preserve">stable size distribution, and </w:t>
      </w:r>
      <w:r w:rsidR="0094498A">
        <w:rPr>
          <w:rFonts w:eastAsia="HGSMinchoE"/>
          <w:color w:val="7030A0"/>
        </w:rPr>
        <w:t xml:space="preserve">reproductive value </w:t>
      </w:r>
      <w:r w:rsidR="0094498A">
        <w:rPr>
          <w:rFonts w:eastAsia="HGSMinchoE"/>
          <w:color w:val="7030A0"/>
        </w:rPr>
        <w:fldChar w:fldCharType="begin" w:fldLock="1"/>
      </w:r>
      <w:r w:rsidR="00B908C1">
        <w:rPr>
          <w:rFonts w:eastAsia="HGSMinchoE"/>
          <w:color w:val="7030A0"/>
        </w:rPr>
        <w:instrText>ADDIN CSL_CITATION {"citationItems":[{"id":"ITEM-1","itemData":{"DOI":"10.1007/978-3-319-28893-2","ISBN":"978-3-319-28891-8","author":[{"dropping-particle":"","family":"Ellner","given":"Stephen P.","non-dropping-particle":"","parse-names":false,"suffix":""},{"dropping-particle":"","family":"Childs","given":"Dylan Z.","non-dropping-particle":"","parse-names":false,"suffix":""},{"dropping-particle":"","family":"Rees","given":"Mark","non-dropping-particle":"","parse-names":false,"suffix":""}],"collection-title":"Lecture Notes on Mathematical Modelling in the Life Sciences","id":"ITEM-1","issued":{"date-parts":[["2016"]]},"publisher":"Springer International Publishing","publisher-place":"Switzerland","title":"Data-driven Modelling of Structured Populations","type":"book"},"uris":["http://www.mendeley.com/documents/?uuid=b85ba009-3e7c-4277-aba9-2a8010a71f0b"]},{"id":"ITEM-2","itemData":{"ISBN":"978-0878930968","author":[{"dropping-particle":"","family":"Caswell","given":"Hal","non-dropping-particle":"","parse-names":false,"suffix":""}],"edition":"2nd","id":"ITEM-2","issued":{"date-parts":[["2001"]]},"publisher":"Sinauer Associates","title":"Matrix Population Models: Construction, Analysis, and Interpretation","type":"book"},"uris":["http://www.mendeley.com/documents/?uuid=e679d839-34d5-4731-9ad9-322e69687ab8"]}],"mendeley":{"formattedCitation":"(Caswell 2001, Ellner et al. 2016)","plainTextFormattedCitation":"(Caswell 2001, Ellner et al. 2016)","previouslyFormattedCitation":"(Caswell 2001, Ellner et al. 2016)"},"properties":{"noteIndex":0},"schema":"https://github.com/citation-style-language/schema/raw/master/csl-citation.json"}</w:instrText>
      </w:r>
      <w:r w:rsidR="0094498A">
        <w:rPr>
          <w:rFonts w:eastAsia="HGSMinchoE"/>
          <w:color w:val="7030A0"/>
        </w:rPr>
        <w:fldChar w:fldCharType="separate"/>
      </w:r>
      <w:r w:rsidR="00F02825" w:rsidRPr="00F02825">
        <w:rPr>
          <w:rFonts w:eastAsia="HGSMinchoE"/>
          <w:noProof/>
          <w:color w:val="7030A0"/>
        </w:rPr>
        <w:t>(Caswell 2001, Ellner et al. 2016)</w:t>
      </w:r>
      <w:r w:rsidR="0094498A">
        <w:rPr>
          <w:rFonts w:eastAsia="HGSMinchoE"/>
          <w:color w:val="7030A0"/>
        </w:rPr>
        <w:fldChar w:fldCharType="end"/>
      </w:r>
      <w:r w:rsidR="0094498A">
        <w:rPr>
          <w:rFonts w:eastAsia="HGSMinchoE"/>
          <w:color w:val="7030A0"/>
        </w:rPr>
        <w:t>.</w:t>
      </w:r>
      <w:r w:rsidR="00895965">
        <w:rPr>
          <w:rFonts w:eastAsia="HGSMinchoE"/>
          <w:color w:val="7030A0"/>
        </w:rPr>
        <w:t xml:space="preserve"> </w:t>
      </w:r>
      <w:r w:rsidR="00855D12">
        <w:rPr>
          <w:rFonts w:eastAsia="HGSMinchoE"/>
          <w:color w:val="7030A0"/>
        </w:rPr>
        <w:t xml:space="preserve">We </w:t>
      </w:r>
      <w:r w:rsidR="001B178F">
        <w:rPr>
          <w:rFonts w:eastAsia="HGSMinchoE"/>
          <w:color w:val="7030A0"/>
        </w:rPr>
        <w:t xml:space="preserve">used 1000 iterations of bootstrap resampling to </w:t>
      </w:r>
      <w:r w:rsidR="00855D12">
        <w:rPr>
          <w:rFonts w:eastAsia="HGSMinchoE"/>
          <w:color w:val="7030A0"/>
        </w:rPr>
        <w:t>estimate</w:t>
      </w:r>
      <w:r w:rsidR="001B178F">
        <w:rPr>
          <w:rFonts w:eastAsia="HGSMinchoE"/>
          <w:color w:val="7030A0"/>
        </w:rPr>
        <w:t xml:space="preserve"> </w:t>
      </w:r>
      <w:r w:rsidR="00D24F4D">
        <w:rPr>
          <w:rFonts w:eastAsia="HGSMinchoE"/>
          <w:color w:val="7030A0"/>
        </w:rPr>
        <w:t xml:space="preserve">95% </w:t>
      </w:r>
      <w:r w:rsidR="00855D12">
        <w:rPr>
          <w:rFonts w:eastAsia="HGSMinchoE"/>
          <w:color w:val="7030A0"/>
        </w:rPr>
        <w:t xml:space="preserve">bootstrap confidence </w:t>
      </w:r>
      <w:r w:rsidR="00D24F4D">
        <w:rPr>
          <w:rFonts w:eastAsia="HGSMinchoE"/>
          <w:color w:val="7030A0"/>
        </w:rPr>
        <w:t>intervals (</w:t>
      </w:r>
      <w:r w:rsidR="0018689C">
        <w:rPr>
          <w:rFonts w:eastAsia="HGSMinchoE"/>
          <w:color w:val="7030A0"/>
        </w:rPr>
        <w:t>95% CIs)</w:t>
      </w:r>
      <w:r w:rsidR="001B178F">
        <w:rPr>
          <w:rFonts w:eastAsia="HGSMinchoE"/>
          <w:color w:val="7030A0"/>
        </w:rPr>
        <w:t xml:space="preserve"> for each </w:t>
      </w:r>
      <w:r w:rsidR="00864607">
        <w:rPr>
          <w:rFonts w:eastAsia="HGSMinchoE"/>
          <w:color w:val="7030A0"/>
        </w:rPr>
        <w:t xml:space="preserve">continuous </w:t>
      </w:r>
      <w:r w:rsidR="001B178F">
        <w:rPr>
          <w:rFonts w:eastAsia="HGSMinchoE"/>
          <w:color w:val="7030A0"/>
        </w:rPr>
        <w:t xml:space="preserve">vital rate parameter included in each IPM, as well each estimate of </w:t>
      </w:r>
      <w:r w:rsidR="001B178F" w:rsidRPr="00341BFA">
        <w:rPr>
          <w:rFonts w:eastAsia="HGSMinchoE"/>
          <w:color w:val="7030A0"/>
        </w:rPr>
        <w:t>λ</w:t>
      </w:r>
      <w:r w:rsidR="001B178F">
        <w:rPr>
          <w:rFonts w:eastAsia="HGSMinchoE"/>
          <w:color w:val="7030A0"/>
        </w:rPr>
        <w:t xml:space="preserve"> </w:t>
      </w:r>
      <w:r w:rsidR="001B178F">
        <w:rPr>
          <w:rFonts w:eastAsia="HGSMinchoE"/>
          <w:color w:val="7030A0"/>
        </w:rPr>
        <w:fldChar w:fldCharType="begin" w:fldLock="1"/>
      </w:r>
      <w:r w:rsidR="00F02825">
        <w:rPr>
          <w:rFonts w:eastAsia="HGSMinchoE"/>
          <w:color w:val="7030A0"/>
        </w:rPr>
        <w:instrText>ADDIN CSL_CITATION {"citationItems":[{"id":"ITEM-1","itemData":{"DOI":"10.7717/peerj.9089","ISSN":"21678359","abstract":"Ecological data often violate common assumptions of traditional parametric statistics (e.g., that residuals are Normally distributed, have constant variance, and cases are independent). Modern statistical methods are well equipped to handle these complications, but they can be challenging for non-statisticians to understand and implement. Rather than default to increasingly complex statistical methods, resampling-based methods can sometimes provide an alternative method for performing statistical inference, while also facilitating a deeper understanding of foundational concepts in frequentist statistics (e.g., sampling distributions, confidence intervals, p-values). Using simple examples and case studies, we demonstrate how resampling-based methods can help elucidate core statistical concepts and provide alternative methods for tackling challenging problems across a broad range of ecological applications.","author":[{"dropping-particle":"","family":"Fieberg","given":"John R.","non-dropping-particle":"","parse-names":false,"suffix":""},{"dropping-particle":"","family":"Vitense","given":"Kelsey","non-dropping-particle":"","parse-names":false,"suffix":""},{"dropping-particle":"","family":"Johnson","given":"Douglas H.","non-dropping-particle":"","parse-names":false,"suffix":""}],"container-title":"PeerJ","id":"ITEM-1","issue":"3","issued":{"date-parts":[["2020"]]},"title":"Resampling-based methods for biologists","type":"article-journal","volume":"2020"},"uris":["http://www.mendeley.com/documents/?uuid=fc8c5408-f4a9-4b40-a6a1-e8aaa75858aa"]},{"id":"ITEM-2","itemData":{"DOI":"10.1111/2041-210X.12146","ISSN":"2041210X","abstract":"Summary: Integral projection models (IPMs) use information on how an individual's state influences its vital rates - survival, growth and reproduction - to make population projections. IPMs are constructed from regression models predicting vital rates from state variables (e.g. size or age) and covariates (e.g. environment). By combining regressions of vital rates, an IPM provides mechanistic insight into emergent ecological patterns such as population dynamics, species geographic distributions or life-history strategies. Here, we review important resources for building IPMs and provide a comprehensive guide, with extensive R code, for their construction. IPMs can be applied to any stage-structured population; here, we illustrate IPMs for a series of plant life histories of increasing complexity and biological realism, highlighting the utility of various regression methods for capturing biological patterns. We also present case studies illustrating how IPMs can be used to predict species' geographic distributions and life-history strategies. IPMs can represent a wide range of life histories at any desired level of biological detail. Much of the strength of IPMs lies in the strength of regression models. Many subtleties arise when scaling from vital rate regressions to population-level patterns, so we provide a set of diagnostics and guidelines to ensure that models are biologically plausible. Moreover, IPMs can exploit a large existing suite of analytical tools developed for matrix projection models. © 2013 British Ecological Society.","author":[{"dropping-particle":"","family":"Merow","given":"Cory","non-dropping-particle":"","parse-names":false,"suffix":""},{"dropping-particle":"","family":"Dahlgren","given":"Johan P.","non-dropping-particle":"","parse-names":false,"suffix":""},{"dropping-particle":"","family":"Metcalf","given":"C. Jessica E.","non-dropping-particle":"","parse-names":false,"suffix":""},{"dropping-particle":"","family":"Childs","given":"Dylan Z.","non-dropping-particle":"","parse-names":false,"suffix":""},{"dropping-particle":"","family":"Evans","given":"Margaret E.K.","non-dropping-particle":"","parse-names":false,"suffix":""},{"dropping-particle":"","family":"Jongejans","given":"Eelke","non-dropping-particle":"","parse-names":false,"suffix":""},{"dropping-particle":"","family":"Record","given":"Sydne","non-dropping-particle":"","parse-names":false,"suffix":""},{"dropping-particle":"","family":"Rees","given":"Mark","non-dropping-particle":"","parse-names":false,"suffix":""},{"dropping-particle":"","family":"Salguero-Gómez","given":"Roberto","non-dropping-particle":"","parse-names":false,"suffix":""},{"dropping-particle":"","family":"Mcmahon","given":"Sean M.","non-dropping-particle":"","parse-names":false,"suffix":""}],"container-title":"Methods in Ecology and Evolution","id":"ITEM-2","issue":"2","issued":{"date-parts":[["2014"]]},"page":"99-110","title":"Advancing population ecology with integral projection models: A practical guide","type":"article-journal","volume":"5"},"uris":["http://www.mendeley.com/documents/?uuid=4d4e2814-6184-4134-97b6-085a49350b14"]}],"mendeley":{"formattedCitation":"(Merow et al. 2014, Fieberg et al. 2020)","plainTextFormattedCitation":"(Merow et al. 2014, Fieberg et al. 2020)","previouslyFormattedCitation":"(Merow et al. 2014, Fieberg et al. 2020)"},"properties":{"noteIndex":0},"schema":"https://github.com/citation-style-language/schema/raw/master/csl-citation.json"}</w:instrText>
      </w:r>
      <w:r w:rsidR="001B178F">
        <w:rPr>
          <w:rFonts w:eastAsia="HGSMinchoE"/>
          <w:color w:val="7030A0"/>
        </w:rPr>
        <w:fldChar w:fldCharType="separate"/>
      </w:r>
      <w:r w:rsidR="001B178F" w:rsidRPr="001B178F">
        <w:rPr>
          <w:rFonts w:eastAsia="HGSMinchoE"/>
          <w:noProof/>
          <w:color w:val="7030A0"/>
        </w:rPr>
        <w:t>(Merow et al. 2014, Fieberg et al. 2020)</w:t>
      </w:r>
      <w:r w:rsidR="001B178F">
        <w:rPr>
          <w:rFonts w:eastAsia="HGSMinchoE"/>
          <w:color w:val="7030A0"/>
        </w:rPr>
        <w:fldChar w:fldCharType="end"/>
      </w:r>
      <w:r w:rsidR="001B178F">
        <w:rPr>
          <w:rFonts w:eastAsia="HGSMinchoE"/>
          <w:color w:val="7030A0"/>
        </w:rPr>
        <w:t xml:space="preserve">.  </w:t>
      </w:r>
      <w:r w:rsidR="00864607">
        <w:rPr>
          <w:rFonts w:eastAsia="HGSMinchoE"/>
          <w:color w:val="7030A0"/>
        </w:rPr>
        <w:t>We were unable to estimate CIs for discrete seedbank parameters</w:t>
      </w:r>
      <w:r w:rsidR="00332FC6">
        <w:rPr>
          <w:rFonts w:eastAsia="HGSMinchoE"/>
          <w:color w:val="7030A0"/>
        </w:rPr>
        <w:t xml:space="preserve"> </w:t>
      </w:r>
      <w:r w:rsidR="00864607">
        <w:rPr>
          <w:rFonts w:eastAsia="HGSMinchoE"/>
          <w:color w:val="7030A0"/>
        </w:rPr>
        <w:t xml:space="preserve">because they were </w:t>
      </w:r>
      <w:r w:rsidR="00332FC6">
        <w:rPr>
          <w:rFonts w:eastAsia="HGSMinchoE"/>
          <w:color w:val="7030A0"/>
        </w:rPr>
        <w:t xml:space="preserve">from a previous publication. </w:t>
      </w:r>
      <w:r w:rsidR="00C153AC">
        <w:rPr>
          <w:rFonts w:eastAsia="HGSMinchoE"/>
          <w:color w:val="7030A0"/>
        </w:rPr>
        <w:t xml:space="preserve">We used </w:t>
      </w:r>
      <w:r w:rsidR="00B908C1">
        <w:rPr>
          <w:rFonts w:eastAsia="HGSMinchoE"/>
          <w:color w:val="7030A0"/>
        </w:rPr>
        <w:t>perturbation analysis to</w:t>
      </w:r>
      <w:r w:rsidR="00EE7026">
        <w:rPr>
          <w:rFonts w:eastAsia="HGSMinchoE"/>
          <w:color w:val="7030A0"/>
        </w:rPr>
        <w:t xml:space="preserve"> determine</w:t>
      </w:r>
      <w:r w:rsidR="00C153AC">
        <w:rPr>
          <w:rFonts w:eastAsia="HGSMinchoE"/>
          <w:color w:val="7030A0"/>
        </w:rPr>
        <w:t xml:space="preserve"> the sensitivity and </w:t>
      </w:r>
      <w:r w:rsidR="00B908C1">
        <w:rPr>
          <w:rFonts w:eastAsia="HGSMinchoE"/>
          <w:color w:val="7030A0"/>
        </w:rPr>
        <w:t>elasticity</w:t>
      </w:r>
      <w:r w:rsidR="00C153AC">
        <w:rPr>
          <w:rFonts w:eastAsia="HGSMinchoE"/>
          <w:color w:val="7030A0"/>
        </w:rPr>
        <w:t xml:space="preserve"> of </w:t>
      </w:r>
      <w:r w:rsidR="002C3602" w:rsidRPr="00341BFA">
        <w:rPr>
          <w:rFonts w:eastAsia="HGSMinchoE"/>
          <w:color w:val="7030A0"/>
        </w:rPr>
        <w:t>λ</w:t>
      </w:r>
      <w:r w:rsidR="00B908C1">
        <w:rPr>
          <w:rFonts w:eastAsia="HGSMinchoE"/>
          <w:color w:val="7030A0"/>
        </w:rPr>
        <w:t xml:space="preserve"> to changes in germination rate, viability rate, seed survival rate, and each parameter in each </w:t>
      </w:r>
      <w:r w:rsidR="00FB718E">
        <w:rPr>
          <w:rFonts w:eastAsia="HGSMinchoE"/>
          <w:color w:val="7030A0"/>
        </w:rPr>
        <w:t xml:space="preserve">continuous </w:t>
      </w:r>
      <w:r w:rsidR="00B908C1">
        <w:rPr>
          <w:rFonts w:eastAsia="HGSMinchoE"/>
          <w:color w:val="7030A0"/>
        </w:rPr>
        <w:t xml:space="preserve">vital rate model </w:t>
      </w:r>
      <w:r w:rsidR="00B908C1">
        <w:rPr>
          <w:rFonts w:eastAsia="HGSMinchoE"/>
          <w:color w:val="7030A0"/>
        </w:rPr>
        <w:fldChar w:fldCharType="begin" w:fldLock="1"/>
      </w:r>
      <w:r w:rsidR="00A533F5">
        <w:rPr>
          <w:rFonts w:eastAsia="HGSMinchoE"/>
          <w:color w:val="7030A0"/>
        </w:rPr>
        <w:instrText>ADDIN CSL_CITATION {"citationItems":[{"id":"ITEM-1","itemData":{"author":[{"dropping-particle":"","family":"Morris","given":"William F","non-dropping-particle":"","parse-names":false,"suffix":""},{"dropping-particle":"","family":"Doak","given":"Daniel F","non-dropping-particle":"","parse-names":false,"suffix":""}],"id":"ITEM-1","issued":{"date-parts":[["2002"]]},"publisher":"Sinauer Associates","publisher-place":"Sunderland, MA","title":"Quantitative Conservation Biology: Theory and Practice of Population Viability Analysis","type":"book"},"uris":["http://www.mendeley.com/documents/?uuid=8a36c328-f1fe-4c0b-98ec-acb1b0aec12d"]}],"mendeley":{"formattedCitation":"(Morris and Doak 2002)","plainTextFormattedCitation":"(Morris and Doak 2002)","previouslyFormattedCitation":"(Morris and Doak 2002)"},"properties":{"noteIndex":0},"schema":"https://github.com/citation-style-language/schema/raw/master/csl-citation.json"}</w:instrText>
      </w:r>
      <w:r w:rsidR="00B908C1">
        <w:rPr>
          <w:rFonts w:eastAsia="HGSMinchoE"/>
          <w:color w:val="7030A0"/>
        </w:rPr>
        <w:fldChar w:fldCharType="separate"/>
      </w:r>
      <w:r w:rsidR="00B908C1" w:rsidRPr="00B908C1">
        <w:rPr>
          <w:rFonts w:eastAsia="HGSMinchoE"/>
          <w:noProof/>
          <w:color w:val="7030A0"/>
        </w:rPr>
        <w:t>(Morris and Doak 2002)</w:t>
      </w:r>
      <w:r w:rsidR="00B908C1">
        <w:rPr>
          <w:rFonts w:eastAsia="HGSMinchoE"/>
          <w:color w:val="7030A0"/>
        </w:rPr>
        <w:fldChar w:fldCharType="end"/>
      </w:r>
      <w:r w:rsidR="00B908C1">
        <w:rPr>
          <w:rFonts w:eastAsia="HGSMinchoE"/>
          <w:color w:val="7030A0"/>
        </w:rPr>
        <w:t xml:space="preserve">. </w:t>
      </w:r>
      <w:r w:rsidR="00FC776B">
        <w:rPr>
          <w:rFonts w:eastAsia="HGSMinchoE"/>
          <w:color w:val="7030A0"/>
        </w:rPr>
        <w:t xml:space="preserve">We used the </w:t>
      </w:r>
      <w:r w:rsidR="00B908C1">
        <w:rPr>
          <w:rFonts w:eastAsia="HGSMinchoE"/>
          <w:color w:val="7030A0"/>
        </w:rPr>
        <w:t>IPM with all data and no density dependence or environmental covariates</w:t>
      </w:r>
      <w:r w:rsidR="00FC776B">
        <w:rPr>
          <w:rFonts w:eastAsia="HGSMinchoE"/>
          <w:color w:val="7030A0"/>
        </w:rPr>
        <w:t xml:space="preserve"> for this analysis.</w:t>
      </w:r>
      <w:r w:rsidR="00130FD4">
        <w:rPr>
          <w:rFonts w:eastAsia="HGSMinchoE"/>
          <w:color w:val="7030A0"/>
        </w:rPr>
        <w:t xml:space="preserve"> </w:t>
      </w:r>
      <w:r w:rsidR="00130FD4">
        <w:rPr>
          <w:rFonts w:eastAsia="HGSMinchoE"/>
          <w:color w:val="538135" w:themeColor="accent6" w:themeShade="BF"/>
        </w:rPr>
        <w:t xml:space="preserve">These vital rates and IPMs, as well as the information derived from them, were used to evaluate the importance of negative density dependence, demographic compensation, vital rate buffering, asynchronous responses, and source-sink dynamics for persistence of </w:t>
      </w:r>
      <w:r w:rsidR="00130FD4">
        <w:rPr>
          <w:rFonts w:eastAsia="HGSMinchoE"/>
          <w:i/>
          <w:iCs/>
          <w:color w:val="538135" w:themeColor="accent6" w:themeShade="BF"/>
        </w:rPr>
        <w:t>O. coloradensis</w:t>
      </w:r>
      <w:r w:rsidR="00130FD4">
        <w:rPr>
          <w:rFonts w:eastAsia="HGSMinchoE"/>
          <w:color w:val="538135" w:themeColor="accent6" w:themeShade="BF"/>
        </w:rPr>
        <w:t xml:space="preserve"> populations. </w:t>
      </w:r>
      <w:r w:rsidR="00FC776B">
        <w:rPr>
          <w:rFonts w:eastAsia="HGSMinchoE"/>
          <w:color w:val="7030A0"/>
        </w:rPr>
        <w:t xml:space="preserve"> </w:t>
      </w:r>
    </w:p>
    <w:p w14:paraId="2CCA8B5A" w14:textId="479F66F0" w:rsidR="00782234" w:rsidRDefault="00782234" w:rsidP="00FC776B">
      <w:pPr>
        <w:pStyle w:val="NormalWeb"/>
        <w:spacing w:line="480" w:lineRule="auto"/>
        <w:ind w:firstLine="360"/>
        <w:rPr>
          <w:rFonts w:eastAsia="HGSMinchoE"/>
          <w:color w:val="538135" w:themeColor="accent6" w:themeShade="BF"/>
        </w:rPr>
      </w:pPr>
      <w:r w:rsidRPr="00782234">
        <w:rPr>
          <w:rFonts w:eastAsia="HGSMinchoE"/>
          <w:color w:val="538135" w:themeColor="accent6" w:themeShade="BF"/>
          <w:highlight w:val="yellow"/>
        </w:rPr>
        <w:t xml:space="preserve">INSERT TABLE OF IPMS MADE </w:t>
      </w:r>
      <w:r w:rsidR="00EE6E6C">
        <w:rPr>
          <w:rFonts w:eastAsia="HGSMinchoE"/>
          <w:color w:val="538135" w:themeColor="accent6" w:themeShade="BF"/>
          <w:highlight w:val="yellow"/>
        </w:rPr>
        <w:t xml:space="preserve">– (add to this as I make more models... </w:t>
      </w:r>
      <w:r w:rsidRPr="00782234">
        <w:rPr>
          <w:rFonts w:eastAsia="HGSMinchoE"/>
          <w:color w:val="538135" w:themeColor="accent6" w:themeShade="BF"/>
          <w:highlight w:val="yellow"/>
        </w:rPr>
        <w:t>)</w:t>
      </w:r>
    </w:p>
    <w:tbl>
      <w:tblPr>
        <w:tblStyle w:val="TableGrid"/>
        <w:tblpPr w:leftFromText="180" w:rightFromText="180" w:vertAnchor="text" w:tblpY="1"/>
        <w:tblOverlap w:val="never"/>
        <w:tblW w:w="9805" w:type="dxa"/>
        <w:tblLayout w:type="fixed"/>
        <w:tblLook w:val="04A0" w:firstRow="1" w:lastRow="0" w:firstColumn="1" w:lastColumn="0" w:noHBand="0" w:noVBand="1"/>
      </w:tblPr>
      <w:tblGrid>
        <w:gridCol w:w="1345"/>
        <w:gridCol w:w="1890"/>
        <w:gridCol w:w="990"/>
        <w:gridCol w:w="900"/>
        <w:gridCol w:w="990"/>
        <w:gridCol w:w="1350"/>
        <w:gridCol w:w="1440"/>
        <w:gridCol w:w="900"/>
      </w:tblGrid>
      <w:tr w:rsidR="00887903" w14:paraId="73B54803" w14:textId="77777777" w:rsidTr="00887903">
        <w:tc>
          <w:tcPr>
            <w:tcW w:w="1345" w:type="dxa"/>
            <w:vMerge w:val="restart"/>
          </w:tcPr>
          <w:p w14:paraId="759BFF38" w14:textId="15E086F7" w:rsidR="00887903" w:rsidRPr="00106C3B" w:rsidRDefault="00887903" w:rsidP="00397D29">
            <w:pPr>
              <w:pStyle w:val="NormalWeb"/>
              <w:rPr>
                <w:rFonts w:eastAsia="HGSMinchoE"/>
                <w:b/>
                <w:bCs/>
                <w:color w:val="538135" w:themeColor="accent6" w:themeShade="BF"/>
              </w:rPr>
            </w:pPr>
            <w:r w:rsidRPr="00106C3B">
              <w:rPr>
                <w:rFonts w:eastAsia="HGSMinchoE"/>
                <w:b/>
                <w:bCs/>
                <w:color w:val="538135" w:themeColor="accent6" w:themeShade="BF"/>
              </w:rPr>
              <w:t>IPM</w:t>
            </w:r>
          </w:p>
        </w:tc>
        <w:tc>
          <w:tcPr>
            <w:tcW w:w="3780" w:type="dxa"/>
            <w:gridSpan w:val="3"/>
          </w:tcPr>
          <w:p w14:paraId="61EABE20" w14:textId="7C9C72EA" w:rsidR="00887903" w:rsidRPr="00106C3B" w:rsidRDefault="00887903" w:rsidP="00397D29">
            <w:pPr>
              <w:pStyle w:val="NormalWeb"/>
              <w:rPr>
                <w:rFonts w:eastAsia="HGSMinchoE"/>
                <w:b/>
                <w:bCs/>
                <w:color w:val="538135" w:themeColor="accent6" w:themeShade="BF"/>
              </w:rPr>
            </w:pPr>
            <w:r w:rsidRPr="00106C3B">
              <w:rPr>
                <w:rFonts w:eastAsia="HGSMinchoE"/>
                <w:b/>
                <w:bCs/>
                <w:color w:val="538135" w:themeColor="accent6" w:themeShade="BF"/>
              </w:rPr>
              <w:t>Data Included</w:t>
            </w:r>
          </w:p>
        </w:tc>
        <w:tc>
          <w:tcPr>
            <w:tcW w:w="2340" w:type="dxa"/>
            <w:gridSpan w:val="2"/>
          </w:tcPr>
          <w:p w14:paraId="034CA6DE" w14:textId="21EF0B55" w:rsidR="00887903" w:rsidRPr="00106C3B" w:rsidRDefault="00887903" w:rsidP="00397D29">
            <w:pPr>
              <w:pStyle w:val="NormalWeb"/>
              <w:rPr>
                <w:rFonts w:eastAsia="HGSMinchoE"/>
                <w:b/>
                <w:bCs/>
                <w:color w:val="538135" w:themeColor="accent6" w:themeShade="BF"/>
              </w:rPr>
            </w:pPr>
            <w:r w:rsidRPr="00106C3B">
              <w:rPr>
                <w:rFonts w:eastAsia="HGSMinchoE"/>
                <w:b/>
                <w:bCs/>
                <w:color w:val="538135" w:themeColor="accent6" w:themeShade="BF"/>
              </w:rPr>
              <w:t xml:space="preserve">Transitions included </w:t>
            </w:r>
          </w:p>
        </w:tc>
        <w:tc>
          <w:tcPr>
            <w:tcW w:w="2340" w:type="dxa"/>
            <w:gridSpan w:val="2"/>
          </w:tcPr>
          <w:p w14:paraId="4A532B69" w14:textId="262C630D" w:rsidR="00887903" w:rsidRPr="00106C3B" w:rsidRDefault="00887903" w:rsidP="00397D29">
            <w:pPr>
              <w:pStyle w:val="NormalWeb"/>
              <w:rPr>
                <w:rFonts w:eastAsia="HGSMinchoE"/>
                <w:b/>
                <w:bCs/>
                <w:color w:val="538135" w:themeColor="accent6" w:themeShade="BF"/>
              </w:rPr>
            </w:pPr>
            <w:r w:rsidRPr="00106C3B">
              <w:rPr>
                <w:rFonts w:eastAsia="HGSMinchoE"/>
                <w:b/>
                <w:bCs/>
                <w:color w:val="538135" w:themeColor="accent6" w:themeShade="BF"/>
              </w:rPr>
              <w:t>Covariates included in vital rate models</w:t>
            </w:r>
          </w:p>
        </w:tc>
      </w:tr>
      <w:tr w:rsidR="00887903" w14:paraId="7F988BD8" w14:textId="77777777" w:rsidTr="00887903">
        <w:trPr>
          <w:cantSplit/>
          <w:trHeight w:val="1934"/>
        </w:trPr>
        <w:tc>
          <w:tcPr>
            <w:tcW w:w="1345" w:type="dxa"/>
            <w:vMerge/>
          </w:tcPr>
          <w:p w14:paraId="0C989860" w14:textId="77777777" w:rsidR="00887903" w:rsidRPr="00106C3B" w:rsidRDefault="00887903" w:rsidP="00887903">
            <w:pPr>
              <w:pStyle w:val="NormalWeb"/>
              <w:rPr>
                <w:rFonts w:eastAsia="HGSMinchoE"/>
                <w:b/>
                <w:bCs/>
                <w:color w:val="538135" w:themeColor="accent6" w:themeShade="BF"/>
              </w:rPr>
            </w:pPr>
          </w:p>
        </w:tc>
        <w:tc>
          <w:tcPr>
            <w:tcW w:w="1890" w:type="dxa"/>
            <w:textDirection w:val="btLr"/>
          </w:tcPr>
          <w:p w14:paraId="4FDE191B" w14:textId="5F7D3DC0" w:rsidR="00887903" w:rsidRPr="00106C3B" w:rsidRDefault="00887903" w:rsidP="00887903">
            <w:pPr>
              <w:pStyle w:val="NormalWeb"/>
              <w:ind w:left="113" w:right="113"/>
              <w:rPr>
                <w:rFonts w:eastAsia="HGSMinchoE"/>
                <w:b/>
                <w:bCs/>
                <w:color w:val="538135" w:themeColor="accent6" w:themeShade="BF"/>
              </w:rPr>
            </w:pPr>
            <w:r w:rsidRPr="00106C3B">
              <w:rPr>
                <w:rFonts w:eastAsia="HGSMinchoE"/>
                <w:b/>
                <w:bCs/>
                <w:color w:val="538135" w:themeColor="accent6" w:themeShade="BF"/>
              </w:rPr>
              <w:t>All subpopulations</w:t>
            </w:r>
          </w:p>
        </w:tc>
        <w:tc>
          <w:tcPr>
            <w:tcW w:w="990" w:type="dxa"/>
            <w:textDirection w:val="btLr"/>
          </w:tcPr>
          <w:p w14:paraId="551A42F6" w14:textId="0886C257" w:rsidR="00887903" w:rsidRPr="00106C3B" w:rsidRDefault="00887903" w:rsidP="00887903">
            <w:pPr>
              <w:pStyle w:val="NormalWeb"/>
              <w:ind w:left="113" w:right="113"/>
              <w:rPr>
                <w:rFonts w:eastAsia="HGSMinchoE"/>
                <w:b/>
                <w:bCs/>
                <w:color w:val="538135" w:themeColor="accent6" w:themeShade="BF"/>
              </w:rPr>
            </w:pPr>
            <w:r>
              <w:rPr>
                <w:rFonts w:eastAsia="HGSMinchoE"/>
                <w:b/>
                <w:bCs/>
                <w:color w:val="538135" w:themeColor="accent6" w:themeShade="BF"/>
              </w:rPr>
              <w:t>Each population (Soapstone and FEWAFB)</w:t>
            </w:r>
          </w:p>
        </w:tc>
        <w:tc>
          <w:tcPr>
            <w:tcW w:w="900" w:type="dxa"/>
            <w:textDirection w:val="btLr"/>
          </w:tcPr>
          <w:p w14:paraId="6B87B806" w14:textId="374F8ACD" w:rsidR="00887903" w:rsidRPr="00106C3B" w:rsidRDefault="00887903" w:rsidP="00887903">
            <w:pPr>
              <w:pStyle w:val="NormalWeb"/>
              <w:ind w:left="113" w:right="113"/>
              <w:rPr>
                <w:rFonts w:eastAsia="HGSMinchoE"/>
                <w:b/>
                <w:bCs/>
                <w:color w:val="538135" w:themeColor="accent6" w:themeShade="BF"/>
              </w:rPr>
            </w:pPr>
            <w:r w:rsidRPr="00106C3B">
              <w:rPr>
                <w:rFonts w:eastAsia="HGSMinchoE"/>
                <w:b/>
                <w:bCs/>
                <w:color w:val="538135" w:themeColor="accent6" w:themeShade="BF"/>
              </w:rPr>
              <w:t>For Each Subpopulation</w:t>
            </w:r>
          </w:p>
        </w:tc>
        <w:tc>
          <w:tcPr>
            <w:tcW w:w="990" w:type="dxa"/>
            <w:textDirection w:val="btLr"/>
          </w:tcPr>
          <w:p w14:paraId="50ABA428" w14:textId="5F0E874C" w:rsidR="00887903" w:rsidRPr="00106C3B" w:rsidRDefault="00887903" w:rsidP="00887903">
            <w:pPr>
              <w:pStyle w:val="NormalWeb"/>
              <w:ind w:left="113" w:right="113"/>
              <w:rPr>
                <w:rFonts w:eastAsia="HGSMinchoE"/>
                <w:b/>
                <w:bCs/>
                <w:color w:val="538135" w:themeColor="accent6" w:themeShade="BF"/>
              </w:rPr>
            </w:pPr>
            <w:r w:rsidRPr="00106C3B">
              <w:rPr>
                <w:rFonts w:eastAsia="HGSMinchoE"/>
                <w:b/>
                <w:bCs/>
                <w:color w:val="538135" w:themeColor="accent6" w:themeShade="BF"/>
              </w:rPr>
              <w:t xml:space="preserve">All transitions </w:t>
            </w:r>
          </w:p>
        </w:tc>
        <w:tc>
          <w:tcPr>
            <w:tcW w:w="1350" w:type="dxa"/>
            <w:textDirection w:val="btLr"/>
          </w:tcPr>
          <w:p w14:paraId="63C5749C" w14:textId="54641CFF" w:rsidR="00887903" w:rsidRPr="00106C3B" w:rsidRDefault="00887903" w:rsidP="00887903">
            <w:pPr>
              <w:pStyle w:val="NormalWeb"/>
              <w:ind w:left="113" w:right="113"/>
              <w:rPr>
                <w:rFonts w:eastAsia="HGSMinchoE"/>
                <w:b/>
                <w:bCs/>
                <w:color w:val="538135" w:themeColor="accent6" w:themeShade="BF"/>
              </w:rPr>
            </w:pPr>
            <w:r>
              <w:rPr>
                <w:rFonts w:eastAsia="HGSMinchoE"/>
                <w:b/>
                <w:bCs/>
                <w:color w:val="538135" w:themeColor="accent6" w:themeShade="BF"/>
              </w:rPr>
              <w:t>IPM f</w:t>
            </w:r>
            <w:r w:rsidRPr="00106C3B">
              <w:rPr>
                <w:rFonts w:eastAsia="HGSMinchoE"/>
                <w:b/>
                <w:bCs/>
                <w:color w:val="538135" w:themeColor="accent6" w:themeShade="BF"/>
              </w:rPr>
              <w:t xml:space="preserve">or each transition </w:t>
            </w:r>
          </w:p>
        </w:tc>
        <w:tc>
          <w:tcPr>
            <w:tcW w:w="1440" w:type="dxa"/>
            <w:textDirection w:val="btLr"/>
          </w:tcPr>
          <w:p w14:paraId="29177BF6" w14:textId="7A9C1CBF" w:rsidR="00887903" w:rsidRPr="00106C3B" w:rsidRDefault="00887903" w:rsidP="00887903">
            <w:pPr>
              <w:pStyle w:val="NormalWeb"/>
              <w:ind w:left="113" w:right="113"/>
              <w:rPr>
                <w:rFonts w:eastAsia="HGSMinchoE"/>
                <w:b/>
                <w:bCs/>
                <w:color w:val="538135" w:themeColor="accent6" w:themeShade="BF"/>
              </w:rPr>
            </w:pPr>
            <w:r w:rsidRPr="00106C3B">
              <w:rPr>
                <w:rFonts w:eastAsia="HGSMinchoE"/>
                <w:b/>
                <w:bCs/>
                <w:color w:val="538135" w:themeColor="accent6" w:themeShade="BF"/>
              </w:rPr>
              <w:t>Density Dependence (pop. size in year t)</w:t>
            </w:r>
          </w:p>
        </w:tc>
        <w:tc>
          <w:tcPr>
            <w:tcW w:w="900" w:type="dxa"/>
            <w:textDirection w:val="btLr"/>
          </w:tcPr>
          <w:p w14:paraId="04FB4671" w14:textId="0365768B" w:rsidR="00887903" w:rsidRPr="00106C3B" w:rsidRDefault="00887903" w:rsidP="00887903">
            <w:pPr>
              <w:pStyle w:val="NormalWeb"/>
              <w:ind w:left="113" w:right="113"/>
              <w:rPr>
                <w:rFonts w:eastAsia="HGSMinchoE"/>
                <w:b/>
                <w:bCs/>
                <w:color w:val="538135" w:themeColor="accent6" w:themeShade="BF"/>
              </w:rPr>
            </w:pPr>
            <w:r w:rsidRPr="00106C3B">
              <w:rPr>
                <w:rFonts w:eastAsia="HGSMinchoE"/>
                <w:b/>
                <w:bCs/>
                <w:color w:val="538135" w:themeColor="accent6" w:themeShade="BF"/>
              </w:rPr>
              <w:t xml:space="preserve">Environmental Covariates </w:t>
            </w:r>
          </w:p>
        </w:tc>
      </w:tr>
      <w:tr w:rsidR="00887903" w14:paraId="09E4897E" w14:textId="77777777" w:rsidTr="00887903">
        <w:tc>
          <w:tcPr>
            <w:tcW w:w="1345" w:type="dxa"/>
          </w:tcPr>
          <w:p w14:paraId="1A39CCAA" w14:textId="6F6805BF" w:rsidR="00887903" w:rsidRDefault="00887903" w:rsidP="00887903">
            <w:pPr>
              <w:pStyle w:val="NormalWeb"/>
              <w:rPr>
                <w:rFonts w:eastAsia="HGSMinchoE"/>
                <w:color w:val="538135" w:themeColor="accent6" w:themeShade="BF"/>
              </w:rPr>
            </w:pPr>
            <w:proofErr w:type="spellStart"/>
            <w:r>
              <w:rPr>
                <w:rFonts w:eastAsia="HGSMinchoE"/>
                <w:color w:val="538135" w:themeColor="accent6" w:themeShade="BF"/>
              </w:rPr>
              <w:t>all_DI</w:t>
            </w:r>
            <w:proofErr w:type="spellEnd"/>
          </w:p>
        </w:tc>
        <w:tc>
          <w:tcPr>
            <w:tcW w:w="1890" w:type="dxa"/>
          </w:tcPr>
          <w:p w14:paraId="4870B4B7" w14:textId="62B6CF08"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90" w:type="dxa"/>
          </w:tcPr>
          <w:p w14:paraId="366D5E84" w14:textId="34DA2BEB" w:rsidR="00887903" w:rsidRPr="00397D29" w:rsidRDefault="00887903" w:rsidP="00887903">
            <w:pPr>
              <w:pStyle w:val="NormalWeb"/>
              <w:rPr>
                <w:rFonts w:ascii="Arial" w:eastAsia="HGSMinchoE" w:hAnsi="Arial" w:cs="Arial"/>
                <w:color w:val="538135" w:themeColor="accent6" w:themeShade="BF"/>
              </w:rPr>
            </w:pPr>
          </w:p>
        </w:tc>
        <w:tc>
          <w:tcPr>
            <w:tcW w:w="900" w:type="dxa"/>
          </w:tcPr>
          <w:p w14:paraId="1CCFAFBE"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6695D1EE" w14:textId="446999A3"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1350" w:type="dxa"/>
          </w:tcPr>
          <w:p w14:paraId="1CA3835C" w14:textId="77777777" w:rsidR="00887903" w:rsidRPr="00397D29" w:rsidRDefault="00887903" w:rsidP="00887903">
            <w:pPr>
              <w:pStyle w:val="NormalWeb"/>
              <w:rPr>
                <w:rFonts w:ascii="Arial" w:eastAsia="HGSMinchoE" w:hAnsi="Arial" w:cs="Arial"/>
                <w:color w:val="538135" w:themeColor="accent6" w:themeShade="BF"/>
              </w:rPr>
            </w:pPr>
          </w:p>
        </w:tc>
        <w:tc>
          <w:tcPr>
            <w:tcW w:w="1440" w:type="dxa"/>
          </w:tcPr>
          <w:p w14:paraId="47F3297A" w14:textId="77777777" w:rsidR="00887903" w:rsidRPr="00397D29" w:rsidRDefault="00887903" w:rsidP="00887903">
            <w:pPr>
              <w:pStyle w:val="NormalWeb"/>
              <w:rPr>
                <w:rFonts w:ascii="Arial" w:eastAsia="HGSMinchoE" w:hAnsi="Arial" w:cs="Arial"/>
                <w:color w:val="538135" w:themeColor="accent6" w:themeShade="BF"/>
              </w:rPr>
            </w:pPr>
          </w:p>
        </w:tc>
        <w:tc>
          <w:tcPr>
            <w:tcW w:w="900" w:type="dxa"/>
          </w:tcPr>
          <w:p w14:paraId="568B0AFB" w14:textId="77777777" w:rsidR="00887903" w:rsidRPr="00397D29" w:rsidRDefault="00887903" w:rsidP="00887903">
            <w:pPr>
              <w:pStyle w:val="NormalWeb"/>
              <w:rPr>
                <w:rFonts w:ascii="Arial" w:eastAsia="HGSMinchoE" w:hAnsi="Arial" w:cs="Arial"/>
                <w:color w:val="538135" w:themeColor="accent6" w:themeShade="BF"/>
              </w:rPr>
            </w:pPr>
          </w:p>
        </w:tc>
      </w:tr>
      <w:tr w:rsidR="00887903" w14:paraId="64E3E47F" w14:textId="77777777" w:rsidTr="00887903">
        <w:tc>
          <w:tcPr>
            <w:tcW w:w="1345" w:type="dxa"/>
          </w:tcPr>
          <w:p w14:paraId="1F7B61BF" w14:textId="41229738" w:rsidR="00887903" w:rsidRDefault="00887903" w:rsidP="00887903">
            <w:pPr>
              <w:pStyle w:val="NormalWeb"/>
              <w:rPr>
                <w:rFonts w:eastAsia="HGSMinchoE"/>
                <w:color w:val="538135" w:themeColor="accent6" w:themeShade="BF"/>
              </w:rPr>
            </w:pPr>
            <w:proofErr w:type="spellStart"/>
            <w:r>
              <w:rPr>
                <w:rFonts w:eastAsia="HGSMinchoE"/>
                <w:color w:val="538135" w:themeColor="accent6" w:themeShade="BF"/>
              </w:rPr>
              <w:t>all_DD</w:t>
            </w:r>
            <w:proofErr w:type="spellEnd"/>
          </w:p>
        </w:tc>
        <w:tc>
          <w:tcPr>
            <w:tcW w:w="1890" w:type="dxa"/>
          </w:tcPr>
          <w:p w14:paraId="564BC8C5" w14:textId="1A314F68"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90" w:type="dxa"/>
          </w:tcPr>
          <w:p w14:paraId="5B618DFD" w14:textId="30D3A592" w:rsidR="00887903" w:rsidRPr="00397D29" w:rsidRDefault="00887903" w:rsidP="00887903">
            <w:pPr>
              <w:pStyle w:val="NormalWeb"/>
              <w:rPr>
                <w:rFonts w:ascii="Arial" w:eastAsia="HGSMinchoE" w:hAnsi="Arial" w:cs="Arial"/>
                <w:color w:val="538135" w:themeColor="accent6" w:themeShade="BF"/>
              </w:rPr>
            </w:pPr>
          </w:p>
        </w:tc>
        <w:tc>
          <w:tcPr>
            <w:tcW w:w="900" w:type="dxa"/>
          </w:tcPr>
          <w:p w14:paraId="48910631"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7EA75320" w14:textId="70CAFEA7"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1350" w:type="dxa"/>
          </w:tcPr>
          <w:p w14:paraId="742CDDD8" w14:textId="77777777" w:rsidR="00887903" w:rsidRPr="00397D29" w:rsidRDefault="00887903" w:rsidP="00887903">
            <w:pPr>
              <w:pStyle w:val="NormalWeb"/>
              <w:rPr>
                <w:rFonts w:ascii="Arial" w:eastAsia="HGSMinchoE" w:hAnsi="Arial" w:cs="Arial"/>
                <w:color w:val="538135" w:themeColor="accent6" w:themeShade="BF"/>
              </w:rPr>
            </w:pPr>
          </w:p>
        </w:tc>
        <w:tc>
          <w:tcPr>
            <w:tcW w:w="1440" w:type="dxa"/>
          </w:tcPr>
          <w:p w14:paraId="7847A4F8" w14:textId="36983665"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00" w:type="dxa"/>
          </w:tcPr>
          <w:p w14:paraId="6F90C7E2" w14:textId="77777777" w:rsidR="00887903" w:rsidRPr="00397D29" w:rsidRDefault="00887903" w:rsidP="00887903">
            <w:pPr>
              <w:pStyle w:val="NormalWeb"/>
              <w:rPr>
                <w:rFonts w:ascii="Arial" w:eastAsia="HGSMinchoE" w:hAnsi="Arial" w:cs="Arial"/>
                <w:color w:val="538135" w:themeColor="accent6" w:themeShade="BF"/>
              </w:rPr>
            </w:pPr>
          </w:p>
        </w:tc>
      </w:tr>
      <w:tr w:rsidR="00887903" w14:paraId="2AE9A6D6" w14:textId="77777777" w:rsidTr="00887903">
        <w:tc>
          <w:tcPr>
            <w:tcW w:w="1345" w:type="dxa"/>
          </w:tcPr>
          <w:p w14:paraId="15C1B6CE" w14:textId="3A3393E9" w:rsidR="00887903" w:rsidRDefault="00887903" w:rsidP="00887903">
            <w:pPr>
              <w:pStyle w:val="NormalWeb"/>
              <w:rPr>
                <w:rFonts w:eastAsia="HGSMinchoE"/>
                <w:color w:val="538135" w:themeColor="accent6" w:themeShade="BF"/>
              </w:rPr>
            </w:pPr>
            <w:proofErr w:type="spellStart"/>
            <w:r>
              <w:rPr>
                <w:rFonts w:eastAsia="HGSMinchoE"/>
                <w:color w:val="538135" w:themeColor="accent6" w:themeShade="BF"/>
              </w:rPr>
              <w:t>site_DI</w:t>
            </w:r>
            <w:proofErr w:type="spellEnd"/>
          </w:p>
        </w:tc>
        <w:tc>
          <w:tcPr>
            <w:tcW w:w="1890" w:type="dxa"/>
          </w:tcPr>
          <w:p w14:paraId="2E9DBFA5"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438EA812" w14:textId="3461FFC4" w:rsidR="00887903" w:rsidRPr="00397D29" w:rsidRDefault="00887903" w:rsidP="00887903">
            <w:pPr>
              <w:pStyle w:val="NormalWeb"/>
              <w:rPr>
                <w:rFonts w:ascii="Arial" w:eastAsia="HGSMinchoE" w:hAnsi="Arial" w:cs="Arial"/>
                <w:color w:val="538135" w:themeColor="accent6" w:themeShade="BF"/>
              </w:rPr>
            </w:pPr>
          </w:p>
        </w:tc>
        <w:tc>
          <w:tcPr>
            <w:tcW w:w="900" w:type="dxa"/>
          </w:tcPr>
          <w:p w14:paraId="52D28CF6" w14:textId="3DF71BBA"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90" w:type="dxa"/>
          </w:tcPr>
          <w:p w14:paraId="72768BB6" w14:textId="4BEF8B2E"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1350" w:type="dxa"/>
          </w:tcPr>
          <w:p w14:paraId="48DAB6DC" w14:textId="77777777" w:rsidR="00887903" w:rsidRPr="00397D29" w:rsidRDefault="00887903" w:rsidP="00887903">
            <w:pPr>
              <w:pStyle w:val="NormalWeb"/>
              <w:rPr>
                <w:rFonts w:ascii="Arial" w:eastAsia="HGSMinchoE" w:hAnsi="Arial" w:cs="Arial"/>
                <w:color w:val="538135" w:themeColor="accent6" w:themeShade="BF"/>
              </w:rPr>
            </w:pPr>
          </w:p>
        </w:tc>
        <w:tc>
          <w:tcPr>
            <w:tcW w:w="1440" w:type="dxa"/>
          </w:tcPr>
          <w:p w14:paraId="09A5E593" w14:textId="77777777" w:rsidR="00887903" w:rsidRPr="00397D29" w:rsidRDefault="00887903" w:rsidP="00887903">
            <w:pPr>
              <w:pStyle w:val="NormalWeb"/>
              <w:rPr>
                <w:rFonts w:ascii="Arial" w:eastAsia="HGSMinchoE" w:hAnsi="Arial" w:cs="Arial"/>
                <w:color w:val="538135" w:themeColor="accent6" w:themeShade="BF"/>
              </w:rPr>
            </w:pPr>
          </w:p>
        </w:tc>
        <w:tc>
          <w:tcPr>
            <w:tcW w:w="900" w:type="dxa"/>
          </w:tcPr>
          <w:p w14:paraId="3C64EF1A" w14:textId="77777777" w:rsidR="00887903" w:rsidRPr="00397D29" w:rsidRDefault="00887903" w:rsidP="00887903">
            <w:pPr>
              <w:pStyle w:val="NormalWeb"/>
              <w:rPr>
                <w:rFonts w:ascii="Arial" w:eastAsia="HGSMinchoE" w:hAnsi="Arial" w:cs="Arial"/>
                <w:color w:val="538135" w:themeColor="accent6" w:themeShade="BF"/>
              </w:rPr>
            </w:pPr>
          </w:p>
        </w:tc>
      </w:tr>
      <w:tr w:rsidR="00887903" w14:paraId="64C17D92" w14:textId="77777777" w:rsidTr="00887903">
        <w:tc>
          <w:tcPr>
            <w:tcW w:w="1345" w:type="dxa"/>
          </w:tcPr>
          <w:p w14:paraId="60B217B6" w14:textId="12B6F1D1" w:rsidR="00887903" w:rsidRDefault="00887903" w:rsidP="00887903">
            <w:pPr>
              <w:pStyle w:val="NormalWeb"/>
              <w:rPr>
                <w:rFonts w:eastAsia="HGSMinchoE"/>
                <w:color w:val="538135" w:themeColor="accent6" w:themeShade="BF"/>
              </w:rPr>
            </w:pPr>
            <w:proofErr w:type="spellStart"/>
            <w:r>
              <w:rPr>
                <w:rFonts w:eastAsia="HGSMinchoE"/>
                <w:color w:val="538135" w:themeColor="accent6" w:themeShade="BF"/>
              </w:rPr>
              <w:t>site_DD</w:t>
            </w:r>
            <w:proofErr w:type="spellEnd"/>
          </w:p>
        </w:tc>
        <w:tc>
          <w:tcPr>
            <w:tcW w:w="1890" w:type="dxa"/>
          </w:tcPr>
          <w:p w14:paraId="1C30ABF4"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2B449542" w14:textId="74CDF4AE" w:rsidR="00887903" w:rsidRPr="00397D29" w:rsidRDefault="00887903" w:rsidP="00887903">
            <w:pPr>
              <w:pStyle w:val="NormalWeb"/>
              <w:rPr>
                <w:rFonts w:ascii="Arial" w:eastAsia="HGSMinchoE" w:hAnsi="Arial" w:cs="Arial"/>
                <w:color w:val="538135" w:themeColor="accent6" w:themeShade="BF"/>
              </w:rPr>
            </w:pPr>
          </w:p>
        </w:tc>
        <w:tc>
          <w:tcPr>
            <w:tcW w:w="900" w:type="dxa"/>
          </w:tcPr>
          <w:p w14:paraId="011ECD49" w14:textId="3FBB5108"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90" w:type="dxa"/>
          </w:tcPr>
          <w:p w14:paraId="15B627DD" w14:textId="10207A46"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1350" w:type="dxa"/>
          </w:tcPr>
          <w:p w14:paraId="08240190" w14:textId="77777777" w:rsidR="00887903" w:rsidRPr="00397D29" w:rsidRDefault="00887903" w:rsidP="00887903">
            <w:pPr>
              <w:pStyle w:val="NormalWeb"/>
              <w:rPr>
                <w:rFonts w:ascii="Arial" w:eastAsia="HGSMinchoE" w:hAnsi="Arial" w:cs="Arial"/>
                <w:color w:val="538135" w:themeColor="accent6" w:themeShade="BF"/>
              </w:rPr>
            </w:pPr>
          </w:p>
        </w:tc>
        <w:tc>
          <w:tcPr>
            <w:tcW w:w="1440" w:type="dxa"/>
          </w:tcPr>
          <w:p w14:paraId="685C99BC" w14:textId="48FF8527"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00" w:type="dxa"/>
          </w:tcPr>
          <w:p w14:paraId="4382AE21" w14:textId="77777777" w:rsidR="00887903" w:rsidRPr="00397D29" w:rsidRDefault="00887903" w:rsidP="00887903">
            <w:pPr>
              <w:pStyle w:val="NormalWeb"/>
              <w:rPr>
                <w:rFonts w:ascii="Arial" w:eastAsia="HGSMinchoE" w:hAnsi="Arial" w:cs="Arial"/>
                <w:color w:val="538135" w:themeColor="accent6" w:themeShade="BF"/>
              </w:rPr>
            </w:pPr>
          </w:p>
        </w:tc>
      </w:tr>
      <w:tr w:rsidR="00887903" w14:paraId="5D987AFE" w14:textId="77777777" w:rsidTr="00887903">
        <w:trPr>
          <w:trHeight w:val="230"/>
        </w:trPr>
        <w:tc>
          <w:tcPr>
            <w:tcW w:w="1345" w:type="dxa"/>
          </w:tcPr>
          <w:p w14:paraId="6DFB3BA1" w14:textId="5F943678" w:rsidR="00887903" w:rsidRDefault="00887903" w:rsidP="00887903">
            <w:pPr>
              <w:pStyle w:val="NormalWeb"/>
              <w:rPr>
                <w:rFonts w:eastAsia="HGSMinchoE"/>
                <w:color w:val="538135" w:themeColor="accent6" w:themeShade="BF"/>
              </w:rPr>
            </w:pPr>
            <w:proofErr w:type="spellStart"/>
            <w:r>
              <w:rPr>
                <w:rFonts w:eastAsia="HGSMinchoE"/>
                <w:color w:val="538135" w:themeColor="accent6" w:themeShade="BF"/>
              </w:rPr>
              <w:t>first_DI</w:t>
            </w:r>
            <w:proofErr w:type="spellEnd"/>
            <w:r>
              <w:rPr>
                <w:rFonts w:eastAsia="HGSMinchoE"/>
                <w:color w:val="538135" w:themeColor="accent6" w:themeShade="BF"/>
              </w:rPr>
              <w:t xml:space="preserve">/ </w:t>
            </w:r>
            <w:proofErr w:type="spellStart"/>
            <w:r>
              <w:rPr>
                <w:rFonts w:eastAsia="HGSMinchoE"/>
                <w:color w:val="538135" w:themeColor="accent6" w:themeShade="BF"/>
              </w:rPr>
              <w:t>second_DI</w:t>
            </w:r>
            <w:proofErr w:type="spellEnd"/>
          </w:p>
        </w:tc>
        <w:tc>
          <w:tcPr>
            <w:tcW w:w="1890" w:type="dxa"/>
          </w:tcPr>
          <w:p w14:paraId="71844791" w14:textId="70C01907"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990" w:type="dxa"/>
          </w:tcPr>
          <w:p w14:paraId="5A2B776A" w14:textId="4283ABA7" w:rsidR="00887903" w:rsidRPr="00397D29" w:rsidRDefault="00887903" w:rsidP="00887903">
            <w:pPr>
              <w:pStyle w:val="NormalWeb"/>
              <w:rPr>
                <w:rFonts w:ascii="Arial" w:eastAsia="HGSMinchoE" w:hAnsi="Arial" w:cs="Arial"/>
                <w:color w:val="538135" w:themeColor="accent6" w:themeShade="BF"/>
              </w:rPr>
            </w:pPr>
          </w:p>
        </w:tc>
        <w:tc>
          <w:tcPr>
            <w:tcW w:w="900" w:type="dxa"/>
          </w:tcPr>
          <w:p w14:paraId="5090F4F3"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6411E724" w14:textId="77777777" w:rsidR="00887903" w:rsidRPr="00397D29" w:rsidRDefault="00887903" w:rsidP="00887903">
            <w:pPr>
              <w:pStyle w:val="NormalWeb"/>
              <w:rPr>
                <w:rFonts w:ascii="Arial" w:eastAsia="HGSMinchoE" w:hAnsi="Arial" w:cs="Arial"/>
                <w:color w:val="538135" w:themeColor="accent6" w:themeShade="BF"/>
              </w:rPr>
            </w:pPr>
          </w:p>
        </w:tc>
        <w:tc>
          <w:tcPr>
            <w:tcW w:w="1350" w:type="dxa"/>
          </w:tcPr>
          <w:p w14:paraId="1DDD3A41" w14:textId="1CB3B497" w:rsidR="00887903" w:rsidRPr="00397D29" w:rsidRDefault="00887903" w:rsidP="00887903">
            <w:pPr>
              <w:pStyle w:val="NormalWeb"/>
              <w:rPr>
                <w:rFonts w:ascii="Arial" w:eastAsia="HGSMinchoE" w:hAnsi="Arial" w:cs="Arial"/>
                <w:color w:val="538135" w:themeColor="accent6" w:themeShade="BF"/>
              </w:rPr>
            </w:pPr>
            <w:r w:rsidRPr="00397D29">
              <w:rPr>
                <w:rFonts w:ascii="Arial" w:eastAsia="HGSMinchoE" w:hAnsi="Arial" w:cs="Arial"/>
                <w:color w:val="538135" w:themeColor="accent6" w:themeShade="BF"/>
              </w:rPr>
              <w:t>x</w:t>
            </w:r>
          </w:p>
        </w:tc>
        <w:tc>
          <w:tcPr>
            <w:tcW w:w="1440" w:type="dxa"/>
          </w:tcPr>
          <w:p w14:paraId="4B1091D9" w14:textId="77777777" w:rsidR="00887903" w:rsidRPr="00397D29" w:rsidRDefault="00887903" w:rsidP="00887903">
            <w:pPr>
              <w:pStyle w:val="NormalWeb"/>
              <w:rPr>
                <w:rFonts w:ascii="Arial" w:eastAsia="HGSMinchoE" w:hAnsi="Arial" w:cs="Arial"/>
                <w:color w:val="538135" w:themeColor="accent6" w:themeShade="BF"/>
              </w:rPr>
            </w:pPr>
          </w:p>
        </w:tc>
        <w:tc>
          <w:tcPr>
            <w:tcW w:w="900" w:type="dxa"/>
          </w:tcPr>
          <w:p w14:paraId="55B8218D" w14:textId="77777777" w:rsidR="00887903" w:rsidRPr="00397D29" w:rsidRDefault="00887903" w:rsidP="00887903">
            <w:pPr>
              <w:pStyle w:val="NormalWeb"/>
              <w:rPr>
                <w:rFonts w:ascii="Arial" w:eastAsia="HGSMinchoE" w:hAnsi="Arial" w:cs="Arial"/>
                <w:color w:val="538135" w:themeColor="accent6" w:themeShade="BF"/>
              </w:rPr>
            </w:pPr>
          </w:p>
        </w:tc>
      </w:tr>
      <w:tr w:rsidR="00887903" w14:paraId="1D8947DB" w14:textId="77777777" w:rsidTr="00887903">
        <w:tc>
          <w:tcPr>
            <w:tcW w:w="1345" w:type="dxa"/>
          </w:tcPr>
          <w:p w14:paraId="3DB3512B" w14:textId="77777777" w:rsidR="00887903" w:rsidRDefault="00887903" w:rsidP="00887903">
            <w:pPr>
              <w:pStyle w:val="NormalWeb"/>
              <w:rPr>
                <w:rFonts w:eastAsia="HGSMinchoE"/>
                <w:color w:val="538135" w:themeColor="accent6" w:themeShade="BF"/>
              </w:rPr>
            </w:pPr>
          </w:p>
        </w:tc>
        <w:tc>
          <w:tcPr>
            <w:tcW w:w="1890" w:type="dxa"/>
          </w:tcPr>
          <w:p w14:paraId="609D9B42"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233DB1DE" w14:textId="7ABA856D" w:rsidR="00887903" w:rsidRPr="00397D29" w:rsidRDefault="00887903" w:rsidP="00887903">
            <w:pPr>
              <w:pStyle w:val="NormalWeb"/>
              <w:rPr>
                <w:rFonts w:ascii="Arial" w:eastAsia="HGSMinchoE" w:hAnsi="Arial" w:cs="Arial"/>
                <w:color w:val="538135" w:themeColor="accent6" w:themeShade="BF"/>
              </w:rPr>
            </w:pPr>
          </w:p>
        </w:tc>
        <w:tc>
          <w:tcPr>
            <w:tcW w:w="900" w:type="dxa"/>
          </w:tcPr>
          <w:p w14:paraId="10DD63EC" w14:textId="77777777" w:rsidR="00887903" w:rsidRPr="00397D29" w:rsidRDefault="00887903" w:rsidP="00887903">
            <w:pPr>
              <w:pStyle w:val="NormalWeb"/>
              <w:rPr>
                <w:rFonts w:ascii="Arial" w:eastAsia="HGSMinchoE" w:hAnsi="Arial" w:cs="Arial"/>
                <w:color w:val="538135" w:themeColor="accent6" w:themeShade="BF"/>
              </w:rPr>
            </w:pPr>
          </w:p>
        </w:tc>
        <w:tc>
          <w:tcPr>
            <w:tcW w:w="990" w:type="dxa"/>
          </w:tcPr>
          <w:p w14:paraId="184F1926" w14:textId="77777777" w:rsidR="00887903" w:rsidRPr="00397D29" w:rsidRDefault="00887903" w:rsidP="00887903">
            <w:pPr>
              <w:pStyle w:val="NormalWeb"/>
              <w:rPr>
                <w:rFonts w:ascii="Arial" w:eastAsia="HGSMinchoE" w:hAnsi="Arial" w:cs="Arial"/>
                <w:color w:val="538135" w:themeColor="accent6" w:themeShade="BF"/>
              </w:rPr>
            </w:pPr>
          </w:p>
        </w:tc>
        <w:tc>
          <w:tcPr>
            <w:tcW w:w="1350" w:type="dxa"/>
          </w:tcPr>
          <w:p w14:paraId="2D847410" w14:textId="77777777" w:rsidR="00887903" w:rsidRPr="00397D29" w:rsidRDefault="00887903" w:rsidP="00887903">
            <w:pPr>
              <w:pStyle w:val="NormalWeb"/>
              <w:rPr>
                <w:rFonts w:ascii="Arial" w:eastAsia="HGSMinchoE" w:hAnsi="Arial" w:cs="Arial"/>
                <w:color w:val="538135" w:themeColor="accent6" w:themeShade="BF"/>
              </w:rPr>
            </w:pPr>
          </w:p>
        </w:tc>
        <w:tc>
          <w:tcPr>
            <w:tcW w:w="1440" w:type="dxa"/>
          </w:tcPr>
          <w:p w14:paraId="4D655890" w14:textId="77777777" w:rsidR="00887903" w:rsidRPr="00397D29" w:rsidRDefault="00887903" w:rsidP="00887903">
            <w:pPr>
              <w:pStyle w:val="NormalWeb"/>
              <w:rPr>
                <w:rFonts w:ascii="Arial" w:eastAsia="HGSMinchoE" w:hAnsi="Arial" w:cs="Arial"/>
                <w:color w:val="538135" w:themeColor="accent6" w:themeShade="BF"/>
              </w:rPr>
            </w:pPr>
          </w:p>
        </w:tc>
        <w:tc>
          <w:tcPr>
            <w:tcW w:w="900" w:type="dxa"/>
          </w:tcPr>
          <w:p w14:paraId="4403627B" w14:textId="77777777" w:rsidR="00887903" w:rsidRPr="00397D29" w:rsidRDefault="00887903" w:rsidP="00887903">
            <w:pPr>
              <w:pStyle w:val="NormalWeb"/>
              <w:rPr>
                <w:rFonts w:ascii="Arial" w:eastAsia="HGSMinchoE" w:hAnsi="Arial" w:cs="Arial"/>
                <w:color w:val="538135" w:themeColor="accent6" w:themeShade="BF"/>
              </w:rPr>
            </w:pPr>
          </w:p>
        </w:tc>
      </w:tr>
    </w:tbl>
    <w:p w14:paraId="1B7DBEC9" w14:textId="77777777" w:rsidR="00397D29" w:rsidRDefault="00397D29" w:rsidP="00EE7026">
      <w:pPr>
        <w:pStyle w:val="NormalWeb"/>
        <w:spacing w:line="480" w:lineRule="auto"/>
        <w:rPr>
          <w:rFonts w:eastAsia="HGSMinchoE"/>
          <w:i/>
          <w:iCs/>
          <w:color w:val="538135" w:themeColor="accent6" w:themeShade="BF"/>
        </w:rPr>
      </w:pPr>
    </w:p>
    <w:p w14:paraId="596A85E4" w14:textId="77777777" w:rsidR="001213CD" w:rsidRDefault="001A55D5" w:rsidP="00EE7026">
      <w:pPr>
        <w:pStyle w:val="NormalWeb"/>
        <w:spacing w:line="480" w:lineRule="auto"/>
        <w:rPr>
          <w:rFonts w:eastAsia="HGSMinchoE"/>
          <w:i/>
          <w:iCs/>
          <w:color w:val="538135" w:themeColor="accent6" w:themeShade="BF"/>
        </w:rPr>
      </w:pPr>
      <w:r>
        <w:rPr>
          <w:rFonts w:eastAsia="HGSMinchoE"/>
          <w:i/>
          <w:iCs/>
          <w:color w:val="538135" w:themeColor="accent6" w:themeShade="BF"/>
        </w:rPr>
        <w:t xml:space="preserve">Evaluating Persistence Mechanisms: </w:t>
      </w:r>
      <w:r w:rsidR="00130FD4">
        <w:rPr>
          <w:rFonts w:eastAsia="HGSMinchoE"/>
          <w:i/>
          <w:iCs/>
          <w:color w:val="538135" w:themeColor="accent6" w:themeShade="BF"/>
        </w:rPr>
        <w:t>Negative Density Dependence</w:t>
      </w:r>
      <w:r w:rsidR="001213CD">
        <w:rPr>
          <w:rFonts w:eastAsia="HGSMinchoE"/>
          <w:i/>
          <w:iCs/>
          <w:color w:val="538135" w:themeColor="accent6" w:themeShade="BF"/>
        </w:rPr>
        <w:t xml:space="preserve"> </w:t>
      </w:r>
    </w:p>
    <w:p w14:paraId="63B556F9" w14:textId="1ECBC82C" w:rsidR="007F1844" w:rsidRDefault="001213CD" w:rsidP="001213CD">
      <w:pPr>
        <w:pStyle w:val="NormalWeb"/>
        <w:spacing w:line="480" w:lineRule="auto"/>
        <w:ind w:firstLine="720"/>
        <w:rPr>
          <w:rFonts w:eastAsia="HGSMinchoE"/>
          <w:color w:val="538135" w:themeColor="accent6" w:themeShade="BF"/>
        </w:rPr>
      </w:pPr>
      <w:r>
        <w:rPr>
          <w:rFonts w:eastAsia="HGSMinchoE"/>
          <w:color w:val="538135" w:themeColor="accent6" w:themeShade="BF"/>
        </w:rPr>
        <w:t xml:space="preserve">In order to determine the importance of density dependence in </w:t>
      </w:r>
      <w:r>
        <w:rPr>
          <w:rFonts w:eastAsia="HGSMinchoE"/>
          <w:i/>
          <w:iCs/>
          <w:color w:val="538135" w:themeColor="accent6" w:themeShade="BF"/>
        </w:rPr>
        <w:t>O. coloradensis</w:t>
      </w:r>
      <w:r>
        <w:rPr>
          <w:rFonts w:eastAsia="HGSMinchoE"/>
          <w:color w:val="538135" w:themeColor="accent6" w:themeShade="BF"/>
        </w:rPr>
        <w:t xml:space="preserve"> populations, we compared </w:t>
      </w:r>
      <w:r w:rsidR="007F1844">
        <w:rPr>
          <w:rFonts w:eastAsia="HGSMinchoE"/>
          <w:color w:val="538135" w:themeColor="accent6" w:themeShade="BF"/>
        </w:rPr>
        <w:t>subpopulation-level</w:t>
      </w:r>
      <w:r w:rsidR="000E0966">
        <w:rPr>
          <w:rFonts w:eastAsia="HGSMinchoE"/>
          <w:color w:val="538135" w:themeColor="accent6" w:themeShade="BF"/>
        </w:rPr>
        <w:t>, all</w:t>
      </w:r>
      <w:r w:rsidR="004940D6">
        <w:rPr>
          <w:rFonts w:eastAsia="HGSMinchoE"/>
          <w:color w:val="538135" w:themeColor="accent6" w:themeShade="BF"/>
        </w:rPr>
        <w:t>-</w:t>
      </w:r>
      <w:r w:rsidR="000E0966">
        <w:rPr>
          <w:rFonts w:eastAsia="HGSMinchoE"/>
          <w:color w:val="538135" w:themeColor="accent6" w:themeShade="BF"/>
        </w:rPr>
        <w:t>transition</w:t>
      </w:r>
      <w:r w:rsidR="007F1844">
        <w:rPr>
          <w:rFonts w:eastAsia="HGSMinchoE"/>
          <w:color w:val="538135" w:themeColor="accent6" w:themeShade="BF"/>
        </w:rPr>
        <w:t xml:space="preserve"> </w:t>
      </w:r>
      <w:r>
        <w:rPr>
          <w:rFonts w:eastAsia="HGSMinchoE"/>
          <w:color w:val="538135" w:themeColor="accent6" w:themeShade="BF"/>
        </w:rPr>
        <w:t xml:space="preserve">IPMs and vital rate functions that did and did not </w:t>
      </w:r>
      <w:r w:rsidR="00C33326">
        <w:rPr>
          <w:rFonts w:eastAsia="HGSMinchoE"/>
          <w:color w:val="538135" w:themeColor="accent6" w:themeShade="BF"/>
        </w:rPr>
        <w:t xml:space="preserve">include </w:t>
      </w:r>
      <w:r>
        <w:rPr>
          <w:rFonts w:eastAsia="HGSMinchoE"/>
          <w:color w:val="538135" w:themeColor="accent6" w:themeShade="BF"/>
        </w:rPr>
        <w:t xml:space="preserve">population size </w:t>
      </w:r>
      <w:r w:rsidR="00C33326">
        <w:rPr>
          <w:rFonts w:eastAsia="HGSMinchoE"/>
          <w:color w:val="538135" w:themeColor="accent6" w:themeShade="BF"/>
        </w:rPr>
        <w:t xml:space="preserve">in the current year </w:t>
      </w:r>
      <w:r>
        <w:rPr>
          <w:rFonts w:eastAsia="HGSMinchoE"/>
          <w:color w:val="538135" w:themeColor="accent6" w:themeShade="BF"/>
        </w:rPr>
        <w:t xml:space="preserve">as </w:t>
      </w:r>
      <w:r w:rsidR="00C33326">
        <w:rPr>
          <w:rFonts w:eastAsia="HGSMinchoE"/>
          <w:color w:val="538135" w:themeColor="accent6" w:themeShade="BF"/>
        </w:rPr>
        <w:t xml:space="preserve">a </w:t>
      </w:r>
      <w:r>
        <w:rPr>
          <w:rFonts w:eastAsia="HGSMinchoE"/>
          <w:color w:val="538135" w:themeColor="accent6" w:themeShade="BF"/>
        </w:rPr>
        <w:t xml:space="preserve">covariate in </w:t>
      </w:r>
      <w:r w:rsidR="00C33326">
        <w:rPr>
          <w:rFonts w:eastAsia="HGSMinchoE"/>
          <w:color w:val="538135" w:themeColor="accent6" w:themeShade="BF"/>
        </w:rPr>
        <w:t xml:space="preserve">vital rate </w:t>
      </w:r>
      <w:r w:rsidR="00A24550">
        <w:rPr>
          <w:rFonts w:eastAsia="HGSMinchoE"/>
          <w:color w:val="538135" w:themeColor="accent6" w:themeShade="BF"/>
        </w:rPr>
        <w:t>models.</w:t>
      </w:r>
      <w:r w:rsidR="00477615">
        <w:rPr>
          <w:rFonts w:eastAsia="HGSMinchoE"/>
          <w:color w:val="538135" w:themeColor="accent6" w:themeShade="BF"/>
        </w:rPr>
        <w:t xml:space="preserve"> We compared </w:t>
      </w:r>
      <w:r w:rsidR="0068131F">
        <w:rPr>
          <w:rFonts w:eastAsia="HGSMinchoE"/>
          <w:color w:val="538135" w:themeColor="accent6" w:themeShade="BF"/>
        </w:rPr>
        <w:t xml:space="preserve">the 95% CIs of </w:t>
      </w:r>
      <w:r w:rsidR="007F1844" w:rsidRPr="007F1844">
        <w:rPr>
          <w:rFonts w:eastAsia="HGSMinchoE"/>
          <w:color w:val="538135" w:themeColor="accent6" w:themeShade="BF"/>
        </w:rPr>
        <w:t xml:space="preserve">asymptotic </w:t>
      </w:r>
      <w:r w:rsidR="007F1844" w:rsidRPr="007F1844">
        <w:rPr>
          <w:rFonts w:eastAsia="HGSMinchoE"/>
          <w:color w:val="538135" w:themeColor="accent6" w:themeShade="BF"/>
        </w:rPr>
        <w:t>λ</w:t>
      </w:r>
      <w:r w:rsidR="007F1844">
        <w:rPr>
          <w:rFonts w:eastAsia="HGSMinchoE"/>
          <w:color w:val="538135" w:themeColor="accent6" w:themeShade="BF"/>
        </w:rPr>
        <w:t xml:space="preserve"> values </w:t>
      </w:r>
      <w:r w:rsidR="0068131F">
        <w:rPr>
          <w:rFonts w:eastAsia="HGSMinchoE"/>
          <w:color w:val="538135" w:themeColor="accent6" w:themeShade="BF"/>
        </w:rPr>
        <w:t xml:space="preserve">to identify </w:t>
      </w:r>
      <w:r w:rsidR="0074351A">
        <w:rPr>
          <w:rFonts w:eastAsia="HGSMinchoE"/>
          <w:color w:val="538135" w:themeColor="accent6" w:themeShade="BF"/>
        </w:rPr>
        <w:t>significant differences between density dependent and density independent IPMs. We</w:t>
      </w:r>
      <w:r w:rsidR="006F46F6">
        <w:rPr>
          <w:rFonts w:eastAsia="HGSMinchoE"/>
          <w:color w:val="538135" w:themeColor="accent6" w:themeShade="BF"/>
        </w:rPr>
        <w:t xml:space="preserve"> </w:t>
      </w:r>
      <w:r w:rsidR="00F560F9">
        <w:rPr>
          <w:rFonts w:eastAsia="HGSMinchoE"/>
          <w:color w:val="538135" w:themeColor="accent6" w:themeShade="BF"/>
        </w:rPr>
        <w:t xml:space="preserve">also </w:t>
      </w:r>
      <w:r w:rsidR="006F46F6">
        <w:rPr>
          <w:rFonts w:eastAsia="HGSMinchoE"/>
          <w:color w:val="538135" w:themeColor="accent6" w:themeShade="BF"/>
        </w:rPr>
        <w:t>used AIC to</w:t>
      </w:r>
      <w:r w:rsidR="0074351A">
        <w:rPr>
          <w:rFonts w:eastAsia="HGSMinchoE"/>
          <w:color w:val="538135" w:themeColor="accent6" w:themeShade="BF"/>
        </w:rPr>
        <w:t xml:space="preserve"> </w:t>
      </w:r>
      <w:r w:rsidR="00F560F9">
        <w:rPr>
          <w:rFonts w:eastAsia="HGSMinchoE"/>
          <w:color w:val="538135" w:themeColor="accent6" w:themeShade="BF"/>
        </w:rPr>
        <w:t xml:space="preserve">identify significant differences between </w:t>
      </w:r>
      <w:r w:rsidR="006F46F6">
        <w:rPr>
          <w:rFonts w:eastAsia="HGSMinchoE"/>
          <w:color w:val="538135" w:themeColor="accent6" w:themeShade="BF"/>
        </w:rPr>
        <w:t>vital rate models with and without density dependence.</w:t>
      </w:r>
      <w:r w:rsidR="004940D6">
        <w:rPr>
          <w:rFonts w:eastAsia="HGSMinchoE"/>
          <w:color w:val="538135" w:themeColor="accent6" w:themeShade="BF"/>
        </w:rPr>
        <w:t xml:space="preserve"> </w:t>
      </w:r>
      <w:r w:rsidR="008637A8">
        <w:rPr>
          <w:rFonts w:eastAsia="HGSMinchoE"/>
          <w:color w:val="538135" w:themeColor="accent6" w:themeShade="BF"/>
        </w:rPr>
        <w:t>Finally, we</w:t>
      </w:r>
      <w:r w:rsidR="004940D6">
        <w:rPr>
          <w:rFonts w:eastAsia="HGSMinchoE"/>
          <w:color w:val="538135" w:themeColor="accent6" w:themeShade="BF"/>
        </w:rPr>
        <w:t xml:space="preserve"> </w:t>
      </w:r>
      <w:r w:rsidR="00376855">
        <w:rPr>
          <w:rFonts w:eastAsia="HGSMinchoE"/>
          <w:color w:val="538135" w:themeColor="accent6" w:themeShade="BF"/>
        </w:rPr>
        <w:t xml:space="preserve">used </w:t>
      </w:r>
      <w:r w:rsidR="00526CAF">
        <w:rPr>
          <w:rFonts w:eastAsia="HGSMinchoE"/>
          <w:color w:val="538135" w:themeColor="accent6" w:themeShade="BF"/>
        </w:rPr>
        <w:t>the “</w:t>
      </w:r>
      <w:proofErr w:type="spellStart"/>
      <w:r w:rsidR="00526CAF">
        <w:rPr>
          <w:rFonts w:eastAsia="HGSMinchoE"/>
          <w:color w:val="538135" w:themeColor="accent6" w:themeShade="BF"/>
        </w:rPr>
        <w:t>ipmr</w:t>
      </w:r>
      <w:proofErr w:type="spellEnd"/>
      <w:r w:rsidR="00526CAF">
        <w:rPr>
          <w:rFonts w:eastAsia="HGSMinchoE"/>
          <w:color w:val="538135" w:themeColor="accent6" w:themeShade="BF"/>
        </w:rPr>
        <w:t xml:space="preserve">” R package to project each subpopulation forward 100 time-steps, either with or without density dependence </w:t>
      </w:r>
      <w:r w:rsidR="00526CAF">
        <w:rPr>
          <w:rFonts w:eastAsia="HGSMinchoE"/>
          <w:color w:val="538135" w:themeColor="accent6" w:themeShade="BF"/>
        </w:rPr>
        <w:fldChar w:fldCharType="begin" w:fldLock="1"/>
      </w:r>
      <w:r w:rsidR="00BB3449">
        <w:rPr>
          <w:rFonts w:eastAsia="HGSMinchoE"/>
          <w:color w:val="538135" w:themeColor="accent6" w:themeShade="BF"/>
        </w:rPr>
        <w:instrText>ADDIN CSL_CITATION {"citationItems":[{"id":"ITEM-1","itemData":{"DOI":"10.1111/2041-210X.13683","ISSN":"2041210X","abstract":"Integral projection models (IPMs) are an important tool for studying the dynamics of populations structured by one or more continuous traits (e.g. size, height, body mass). Researchers use IPMs to investigate questions ranging from linking drivers to population dynamics, planning conservation and management strategies, and quantifying selective pressures in natural populations. The popularity of stage-structured population models has been supported by R scripts and packages (e.g. IPMpack, popbio, popdemo, lefko3) aimed at ecologists, which have introduced a broad repertoire of functionality and outputs. However, pressing ecological, evolutionary and conservation biology topics require developing more complex IPMs, and considerably more expertise to implement them. Here, we introduce ipmr, a flexible R package for building, analysing and interpreting IPMs. The ipmr framework relies on the mathematical notation of the models to express them in code format. Additionally, this package decouples the model parameterization step from the model implementation step. The latter point substantially increases ipmr's flexibility to model complex life cycles and demographic processes. ipmr can handle a wide variety of models, including those that incorporate density dependence, discretely and continuously varying stochastic environments, and multiple continuous and/or discrete traits. ipmr can accommodate models with individuals cross-classified by age and size. Furthermore, the package provides methods for demographic analyses (e.g. asymptotic and stochastic growth rates) and visualization (e.g. kernel plotting). ipmr is a flexible R package for integral projection models. The package substantially reduces the amount of time required to implement general IPMs. We also provide extensive documentation with six vignettes and help files, accessible from an R session and online.","author":[{"dropping-particle":"","family":"Levin","given":"Sam C.","non-dropping-particle":"","parse-names":false,"suffix":""},{"dropping-particle":"","family":"Childs","given":"Dylan Z.","non-dropping-particle":"","parse-names":false,"suffix":""},{"dropping-particle":"","family":"Compagnoni","given":"Aldo","non-dropping-particle":"","parse-names":false,"suffix":""},{"dropping-particle":"","family":"Evers","given":"Sanne","non-dropping-particle":"","parse-names":false,"suffix":""},{"dropping-particle":"","family":"Knight","given":"Tiffany M.","non-dropping-particle":"","parse-names":false,"suffix":""},{"dropping-particle":"","family":"Salguero-Gómez","given":"Roberto","non-dropping-particle":"","parse-names":false,"suffix":""}],"container-title":"Methods in Ecology and Evolution","id":"ITEM-1","issue":"10","issued":{"date-parts":[["2021"]]},"page":"1826-1834","title":"ipmr: Flexible implementation of Integral Projection Models in R","type":"article-journal","volume":"12"},"uris":["http://www.mendeley.com/documents/?uuid=68aa5643-bfc5-4ea2-a60f-7ac7a8e63658"]}],"mendeley":{"formattedCitation":"(Levin et al. 2021)","plainTextFormattedCitation":"(Levin et al. 2021)","previouslyFormattedCitation":"(Levin et al. 2021)"},"properties":{"noteIndex":0},"schema":"https://github.com/citation-style-language/schema/raw/master/csl-citation.json"}</w:instrText>
      </w:r>
      <w:r w:rsidR="00526CAF">
        <w:rPr>
          <w:rFonts w:eastAsia="HGSMinchoE"/>
          <w:color w:val="538135" w:themeColor="accent6" w:themeShade="BF"/>
        </w:rPr>
        <w:fldChar w:fldCharType="separate"/>
      </w:r>
      <w:r w:rsidR="00526CAF" w:rsidRPr="00376855">
        <w:rPr>
          <w:rFonts w:eastAsia="HGSMinchoE"/>
          <w:noProof/>
          <w:color w:val="538135" w:themeColor="accent6" w:themeShade="BF"/>
        </w:rPr>
        <w:t>(Levin et al. 2021)</w:t>
      </w:r>
      <w:r w:rsidR="00526CAF">
        <w:rPr>
          <w:rFonts w:eastAsia="HGSMinchoE"/>
          <w:color w:val="538135" w:themeColor="accent6" w:themeShade="BF"/>
        </w:rPr>
        <w:fldChar w:fldCharType="end"/>
      </w:r>
      <w:r w:rsidR="00526CAF">
        <w:rPr>
          <w:rFonts w:eastAsia="HGSMinchoE"/>
          <w:color w:val="538135" w:themeColor="accent6" w:themeShade="BF"/>
        </w:rPr>
        <w:t>. Each projection incorporated demographic stochasticity</w:t>
      </w:r>
      <w:r w:rsidR="00E00482">
        <w:rPr>
          <w:rFonts w:eastAsia="HGSMinchoE"/>
          <w:color w:val="538135" w:themeColor="accent6" w:themeShade="BF"/>
        </w:rPr>
        <w:t>, was initiated with the stable size distribution derived from the respective IPM</w:t>
      </w:r>
      <w:r w:rsidR="00526CAF">
        <w:rPr>
          <w:rFonts w:eastAsia="HGSMinchoE"/>
          <w:color w:val="538135" w:themeColor="accent6" w:themeShade="BF"/>
        </w:rPr>
        <w:t xml:space="preserve">, and was repeated 1000 times. We used these projections to estimate </w:t>
      </w:r>
      <w:r w:rsidR="00E00482">
        <w:rPr>
          <w:rFonts w:eastAsia="HGSMinchoE"/>
          <w:color w:val="538135" w:themeColor="accent6" w:themeShade="BF"/>
        </w:rPr>
        <w:t xml:space="preserve">the distribution of </w:t>
      </w:r>
      <w:r w:rsidR="00526CAF">
        <w:rPr>
          <w:rFonts w:eastAsia="HGSMinchoE"/>
          <w:color w:val="538135" w:themeColor="accent6" w:themeShade="BF"/>
        </w:rPr>
        <w:t xml:space="preserve">stochastic lambda </w:t>
      </w:r>
      <w:r w:rsidR="00E00482">
        <w:rPr>
          <w:rFonts w:eastAsia="HGSMinchoE"/>
          <w:color w:val="538135" w:themeColor="accent6" w:themeShade="BF"/>
        </w:rPr>
        <w:t>(</w:t>
      </w:r>
      <w:proofErr w:type="spellStart"/>
      <w:r w:rsidR="00E00482" w:rsidRPr="007F1844">
        <w:rPr>
          <w:rFonts w:eastAsia="HGSMinchoE"/>
          <w:color w:val="538135" w:themeColor="accent6" w:themeShade="BF"/>
        </w:rPr>
        <w:t>λ</w:t>
      </w:r>
      <w:r w:rsidR="00E00482">
        <w:rPr>
          <w:rFonts w:eastAsia="HGSMinchoE"/>
          <w:color w:val="538135" w:themeColor="accent6" w:themeShade="BF"/>
          <w:vertAlign w:val="subscript"/>
        </w:rPr>
        <w:t>s</w:t>
      </w:r>
      <w:proofErr w:type="spellEnd"/>
      <w:r w:rsidR="00E00482">
        <w:rPr>
          <w:rFonts w:eastAsia="HGSMinchoE"/>
          <w:color w:val="538135" w:themeColor="accent6" w:themeShade="BF"/>
        </w:rPr>
        <w:t xml:space="preserve">) </w:t>
      </w:r>
      <w:r w:rsidR="00526CAF">
        <w:rPr>
          <w:rFonts w:eastAsia="HGSMinchoE"/>
          <w:color w:val="538135" w:themeColor="accent6" w:themeShade="BF"/>
        </w:rPr>
        <w:t>for each subpopulation</w:t>
      </w:r>
      <w:r w:rsidR="00E00482">
        <w:rPr>
          <w:rFonts w:eastAsia="HGSMinchoE"/>
          <w:color w:val="538135" w:themeColor="accent6" w:themeShade="BF"/>
        </w:rPr>
        <w:t xml:space="preserve">, which we then compared to identify the importance of density dependence for determining long-term population dynamics. </w:t>
      </w:r>
    </w:p>
    <w:p w14:paraId="1A459986" w14:textId="77777777" w:rsidR="00315972" w:rsidRDefault="001A55D5" w:rsidP="00EE7026">
      <w:pPr>
        <w:pStyle w:val="NormalWeb"/>
        <w:spacing w:line="480" w:lineRule="auto"/>
        <w:rPr>
          <w:rFonts w:eastAsia="HGSMinchoE"/>
          <w:i/>
          <w:iCs/>
          <w:color w:val="538135" w:themeColor="accent6" w:themeShade="BF"/>
        </w:rPr>
      </w:pPr>
      <w:r>
        <w:rPr>
          <w:rFonts w:eastAsia="HGSMinchoE"/>
          <w:i/>
          <w:iCs/>
          <w:color w:val="538135" w:themeColor="accent6" w:themeShade="BF"/>
        </w:rPr>
        <w:t xml:space="preserve">Evaluating Persistence Mechanisms: </w:t>
      </w:r>
      <w:r w:rsidR="00130FD4">
        <w:rPr>
          <w:rFonts w:eastAsia="HGSMinchoE"/>
          <w:i/>
          <w:iCs/>
          <w:color w:val="538135" w:themeColor="accent6" w:themeShade="BF"/>
        </w:rPr>
        <w:t>Demographic Compensation</w:t>
      </w:r>
      <w:r w:rsidR="00315972">
        <w:rPr>
          <w:rFonts w:eastAsia="HGSMinchoE"/>
          <w:i/>
          <w:iCs/>
          <w:color w:val="538135" w:themeColor="accent6" w:themeShade="BF"/>
        </w:rPr>
        <w:t xml:space="preserve"> </w:t>
      </w:r>
    </w:p>
    <w:p w14:paraId="4FD6D240" w14:textId="185E18F6" w:rsidR="001D6C46" w:rsidRDefault="00315972" w:rsidP="00315972">
      <w:pPr>
        <w:pStyle w:val="NormalWeb"/>
        <w:spacing w:line="480" w:lineRule="auto"/>
        <w:ind w:firstLine="720"/>
        <w:rPr>
          <w:rFonts w:eastAsia="HGSMinchoE"/>
          <w:color w:val="538135" w:themeColor="accent6" w:themeShade="BF"/>
        </w:rPr>
      </w:pPr>
      <w:r>
        <w:rPr>
          <w:rFonts w:eastAsia="HGSMinchoE"/>
          <w:color w:val="538135" w:themeColor="accent6" w:themeShade="BF"/>
        </w:rPr>
        <w:t xml:space="preserve">To test for demographic compensation, we </w:t>
      </w:r>
      <w:r w:rsidR="005E62D4">
        <w:rPr>
          <w:rFonts w:eastAsia="HGSMinchoE"/>
          <w:color w:val="538135" w:themeColor="accent6" w:themeShade="BF"/>
        </w:rPr>
        <w:t xml:space="preserve">calculated </w:t>
      </w:r>
      <w:r>
        <w:rPr>
          <w:rFonts w:eastAsia="HGSMinchoE"/>
          <w:color w:val="538135" w:themeColor="accent6" w:themeShade="BF"/>
        </w:rPr>
        <w:t xml:space="preserve">the correlation between environmental covariate coefficients in different vital rate models. </w:t>
      </w:r>
      <w:r w:rsidR="001D6C46">
        <w:rPr>
          <w:rFonts w:eastAsia="HGSMinchoE"/>
          <w:color w:val="538135" w:themeColor="accent6" w:themeShade="BF"/>
        </w:rPr>
        <w:t>A negative correlation between coefficients of the same covariate in different vital rate models indicated demographic compensation was taking place</w:t>
      </w:r>
      <w:r w:rsidR="00C86DB2">
        <w:rPr>
          <w:rFonts w:eastAsia="HGSMinchoE"/>
          <w:color w:val="538135" w:themeColor="accent6" w:themeShade="BF"/>
        </w:rPr>
        <w:t xml:space="preserve"> </w:t>
      </w:r>
      <w:r w:rsidR="00C86DB2">
        <w:rPr>
          <w:rFonts w:eastAsia="HGSMinchoE"/>
          <w:color w:val="538135" w:themeColor="accent6" w:themeShade="BF"/>
        </w:rPr>
        <w:fldChar w:fldCharType="begin" w:fldLock="1"/>
      </w:r>
      <w:r w:rsidR="0041741A">
        <w:rPr>
          <w:rFonts w:eastAsia="HGSMinchoE"/>
          <w:color w:val="538135" w:themeColor="accent6" w:themeShade="BF"/>
        </w:rPr>
        <w:instrText>ADDIN CSL_CITATION {"citationItems":[{"id":"ITEM-1","itemData":{"DOI":"10.1111/ele.12505","ISSN":"14610248","abstract":"Most species are exposed to significant environmental gradients across their ranges, but vital rates (survival, growth, reproduction and recruitment) need not respond in the same direction to those gradients. Opposing vital rate trends across environments, a phenomenon that has been loosely called 'demographic compensation', may allow species to occupy larger geographical ranges and alter their responses to climate change. Yet the term has never been precisely defined, nor has its existence or strength been assessed for multiple species. Here, we provide a rigorous definition, and use it to develop a strong test for demographic compensation. By applying the test to data from 26 published, multi-population demographic studies of plants, we show that demographic compensation commonly occurs. We also investigate the mechanisms by which this phenomenon arises by assessing which demographic processes and life stages are most often involved. In addition, we quantify the effect of demographic compensation on variation in population growth rates across environmental gradients, a potentially important determinant of the size of a species' geographical range. Finally, we discuss the implications of demographic compensation for the responses of single populations and species' ranges to temporal environmental variation and to ongoing environmental trends, e.g. due to climate change.","author":[{"dropping-particle":"","family":"Villellas","given":"Jesús","non-dropping-particle":"","parse-names":false,"suffix":""},{"dropping-particle":"","family":"Doak","given":"Daniel F.","non-dropping-particle":"","parse-names":false,"suffix":""},{"dropping-particle":"","family":"García","given":"María B.","non-dropping-particle":"","parse-names":false,"suffix":""},{"dropping-particle":"","family":"Morris","given":"William F.","non-dropping-particle":"","parse-names":false,"suffix":""}],"container-title":"Ecology Letters","editor":[{"dropping-particle":"","family":"Hille Ris Lambers","given":"Janneke","non-dropping-particle":"","parse-names":false,"suffix":""}],"id":"ITEM-1","issue":"11","issued":{"date-parts":[["2015","11"]]},"page":"1139-1152","title":"Demographic compensation among populations: What is it, how does it arise and what are its implications?","type":"article-journal","volume":"18"},"uris":["http://www.mendeley.com/documents/?uuid=be9414d9-cd00-4b91-80d7-61996038ad79"]},{"id":"ITEM-2","itemData":{"DOI":"10.1002/ecm.1360","ISSN":"15577015","abstract":"The persistence of small populations remains a puzzle for ecology and conservation. Especially interesting is how naturally small, isolated populations are able to persist in the face of multiple environmental forces that create fluctuating conditions and should, theory predicts, lead to high probabilities of extirpation. We used a combination of long-term census data and a five-year demographic study of a naturally rare, endemic plant, Yermo xanthocephalus, to evaluate the importance of several possible mechanisms for small population persistence: negative density dependence, vital rate buffering, demographic compensation, asynchrony in dynamics among sub-populations, and source–sink dynamics. These non-exclusive explanations for population persistence all have been shown to operate in some systems, but have rarely if ever been simultaneously examined for the same population or species. We hypothesized that asynchrony in dynamics and demographic compensation would be more powerful than the other three mechanisms. We found partial support for our hypothesis: density dependence, asynchrony among population segments, and source–sink patterns appear to be the most important mechanisms maintaining population viability in this species. Importantly, these processes all appear to operate strongly at very fine spatial scales for Yermo, allowing the only two, extremely small, populations to persist. We also found considerable differences in the results of our census and demographic analyses. In general, we estimated substantially greater chances of population survival from the census data than from the shorter-term demographic studies. In part, this difference is due to drier than average climate conditions during the years of the demographic work. These results emphasize that while demographic information is necessary to understand various components of population dynamics, longer term studies, even if much less detailed, can be more powerful in uncovering some mechanisms that may be critical in stabilizing population numbers, especially in variable environments.","author":[{"dropping-particle":"","family":"Dibner","given":"Reilly R.","non-dropping-particle":"","parse-names":false,"suffix":""},{"dropping-particle":"","family":"Peterson","given":"Megan L.","non-dropping-particle":"","parse-names":false,"suffix":""},{"dropping-particle":"","family":"Louthan","given":"Allison M.","non-dropping-particle":"","parse-names":false,"suffix":""},{"dropping-particle":"","family":"Doak","given":"Daniel F.","non-dropping-particle":"","parse-names":false,"suffix":""}],"container-title":"Ecological Monographs","id":"ITEM-2","issue":"2","issued":{"date-parts":[["2019"]]},"page":"1-16","title":"Multiple mechanisms confer stability to isolated populations of a rare endemic plant","type":"article-journal","volume":"89"},"uris":["http://www.mendeley.com/documents/?uuid=657bb168-36a6-49a5-9886-9859d9fb8c3c"]}],"mendeley":{"formattedCitation":"(Villellas et al. 2015, Dibner et al. 2019)","plainTextFormattedCitation":"(Villellas et al. 2015, Dibner et al. 2019)","previouslyFormattedCitation":"(Villellas et al. 2015, Dibner et al. 2019)"},"properties":{"noteIndex":0},"schema":"https://github.com/citation-style-language/schema/raw/master/csl-citation.json"}</w:instrText>
      </w:r>
      <w:r w:rsidR="00C86DB2">
        <w:rPr>
          <w:rFonts w:eastAsia="HGSMinchoE"/>
          <w:color w:val="538135" w:themeColor="accent6" w:themeShade="BF"/>
        </w:rPr>
        <w:fldChar w:fldCharType="separate"/>
      </w:r>
      <w:r w:rsidR="00C86DB2" w:rsidRPr="00C86DB2">
        <w:rPr>
          <w:rFonts w:eastAsia="HGSMinchoE"/>
          <w:noProof/>
          <w:color w:val="538135" w:themeColor="accent6" w:themeShade="BF"/>
        </w:rPr>
        <w:t>(Villellas et al. 2015, Dibner et al. 2019)</w:t>
      </w:r>
      <w:r w:rsidR="00C86DB2">
        <w:rPr>
          <w:rFonts w:eastAsia="HGSMinchoE"/>
          <w:color w:val="538135" w:themeColor="accent6" w:themeShade="BF"/>
        </w:rPr>
        <w:fldChar w:fldCharType="end"/>
      </w:r>
      <w:r w:rsidR="001D6C46">
        <w:rPr>
          <w:rFonts w:eastAsia="HGSMinchoE"/>
          <w:color w:val="538135" w:themeColor="accent6" w:themeShade="BF"/>
        </w:rPr>
        <w:t xml:space="preserve">. For example, if soil moisture had a positive effect on growth but a negative effect on survival, this would be evidence for demographic compensation. For this correlation analysis we used vital rate models </w:t>
      </w:r>
      <w:r w:rsidR="00691AC2">
        <w:rPr>
          <w:rFonts w:eastAsia="HGSMinchoE"/>
          <w:color w:val="538135" w:themeColor="accent6" w:themeShade="BF"/>
        </w:rPr>
        <w:t>that were fit using data from all subpopulations and both transitions, and that included covariates for density dependence and all environmental covariates (</w:t>
      </w:r>
      <w:r w:rsidR="00AA4DB5">
        <w:rPr>
          <w:rFonts w:eastAsia="HGSMinchoE"/>
          <w:color w:val="538135" w:themeColor="accent6" w:themeShade="BF"/>
        </w:rPr>
        <w:t xml:space="preserve">water year precipitation, mean and standard deviation of growing season temperature, and mean and standard deviation of winter temperature). </w:t>
      </w:r>
      <w:r w:rsidR="0041741A">
        <w:rPr>
          <w:rFonts w:eastAsia="HGSMinchoE"/>
          <w:color w:val="538135" w:themeColor="accent6" w:themeShade="BF"/>
        </w:rPr>
        <w:t xml:space="preserve">We tested the significance of negative correlations between environmental covariate coefficients using a randomization procedure similar to that used by </w:t>
      </w:r>
      <w:proofErr w:type="spellStart"/>
      <w:r w:rsidR="0041741A">
        <w:rPr>
          <w:rFonts w:eastAsia="HGSMinchoE"/>
          <w:color w:val="538135" w:themeColor="accent6" w:themeShade="BF"/>
        </w:rPr>
        <w:t>Villellas</w:t>
      </w:r>
      <w:proofErr w:type="spellEnd"/>
      <w:r w:rsidR="0041741A">
        <w:rPr>
          <w:rFonts w:eastAsia="HGSMinchoE"/>
          <w:color w:val="538135" w:themeColor="accent6" w:themeShade="BF"/>
        </w:rPr>
        <w:t xml:space="preserve"> et al. </w:t>
      </w:r>
      <w:r w:rsidR="0041741A">
        <w:rPr>
          <w:rFonts w:eastAsia="HGSMinchoE"/>
          <w:color w:val="538135" w:themeColor="accent6" w:themeShade="BF"/>
        </w:rPr>
        <w:fldChar w:fldCharType="begin" w:fldLock="1"/>
      </w:r>
      <w:r w:rsidR="00FB718E">
        <w:rPr>
          <w:rFonts w:eastAsia="HGSMinchoE"/>
          <w:color w:val="538135" w:themeColor="accent6" w:themeShade="BF"/>
        </w:rPr>
        <w:instrText>ADDIN CSL_CITATION {"citationItems":[{"id":"ITEM-1","itemData":{"DOI":"10.1111/ele.12505","ISSN":"14610248","abstract":"Most species are exposed to significant environmental gradients across their ranges, but vital rates (survival, growth, reproduction and recruitment) need not respond in the same direction to those gradients. Opposing vital rate trends across environments, a phenomenon that has been loosely called 'demographic compensation', may allow species to occupy larger geographical ranges and alter their responses to climate change. Yet the term has never been precisely defined, nor has its existence or strength been assessed for multiple species. Here, we provide a rigorous definition, and use it to develop a strong test for demographic compensation. By applying the test to data from 26 published, multi-population demographic studies of plants, we show that demographic compensation commonly occurs. We also investigate the mechanisms by which this phenomenon arises by assessing which demographic processes and life stages are most often involved. In addition, we quantify the effect of demographic compensation on variation in population growth rates across environmental gradients, a potentially important determinant of the size of a species' geographical range. Finally, we discuss the implications of demographic compensation for the responses of single populations and species' ranges to temporal environmental variation and to ongoing environmental trends, e.g. due to climate change.","author":[{"dropping-particle":"","family":"Villellas","given":"Jesús","non-dropping-particle":"","parse-names":false,"suffix":""},{"dropping-particle":"","family":"Doak","given":"Daniel F.","non-dropping-particle":"","parse-names":false,"suffix":""},{"dropping-particle":"","family":"García","given":"María B.","non-dropping-particle":"","parse-names":false,"suffix":""},{"dropping-particle":"","family":"Morris","given":"William F.","non-dropping-particle":"","parse-names":false,"suffix":""}],"container-title":"Ecology Letters","editor":[{"dropping-particle":"","family":"Hille Ris Lambers","given":"Janneke","non-dropping-particle":"","parse-names":false,"suffix":""}],"id":"ITEM-1","issue":"11","issued":{"date-parts":[["2015","11"]]},"page":"1139-1152","title":"Demographic compensation among populations: What is it, how does it arise and what are its implications?","type":"article-journal","volume":"18"},"uris":["http://www.mendeley.com/documents/?uuid=be9414d9-cd00-4b91-80d7-61996038ad79"]}],"mendeley":{"formattedCitation":"(Villellas et al. 2015)","manualFormatting":"(2015)","plainTextFormattedCitation":"(Villellas et al. 2015)","previouslyFormattedCitation":"(Villellas et al. 2015)"},"properties":{"noteIndex":0},"schema":"https://github.com/citation-style-language/schema/raw/master/csl-citation.json"}</w:instrText>
      </w:r>
      <w:r w:rsidR="0041741A">
        <w:rPr>
          <w:rFonts w:eastAsia="HGSMinchoE"/>
          <w:color w:val="538135" w:themeColor="accent6" w:themeShade="BF"/>
        </w:rPr>
        <w:fldChar w:fldCharType="separate"/>
      </w:r>
      <w:r w:rsidR="0041741A" w:rsidRPr="0041741A">
        <w:rPr>
          <w:rFonts w:eastAsia="HGSMinchoE"/>
          <w:noProof/>
          <w:color w:val="538135" w:themeColor="accent6" w:themeShade="BF"/>
        </w:rPr>
        <w:t>(2015)</w:t>
      </w:r>
      <w:r w:rsidR="0041741A">
        <w:rPr>
          <w:rFonts w:eastAsia="HGSMinchoE"/>
          <w:color w:val="538135" w:themeColor="accent6" w:themeShade="BF"/>
        </w:rPr>
        <w:fldChar w:fldCharType="end"/>
      </w:r>
      <w:r w:rsidR="0041741A">
        <w:rPr>
          <w:rFonts w:eastAsia="HGSMinchoE"/>
          <w:color w:val="538135" w:themeColor="accent6" w:themeShade="BF"/>
        </w:rPr>
        <w:t xml:space="preserve">, where we randomly </w:t>
      </w:r>
      <w:r w:rsidR="00A82857">
        <w:rPr>
          <w:rFonts w:eastAsia="HGSMinchoE"/>
          <w:color w:val="538135" w:themeColor="accent6" w:themeShade="BF"/>
        </w:rPr>
        <w:t xml:space="preserve">assigned an environmental covariate coefficient drawn from the observed distribution of values for that coefficient to each vital rate function, calculated a correlation matrix between those coefficients in each vital rate function, and counted the number of negative correlations in that matrix. This procedure was repeated 10,000 times to generate a null distribution of the expected number of negative correlations between environmental coefficients that would occur randomly. We compared the observed number of negative correlations between each environmental covariate coefficient to these </w:t>
      </w:r>
      <w:r w:rsidR="00E041C4">
        <w:rPr>
          <w:rFonts w:eastAsia="HGSMinchoE"/>
          <w:color w:val="538135" w:themeColor="accent6" w:themeShade="BF"/>
        </w:rPr>
        <w:t xml:space="preserve">expected distributions of random correlations to determine statistical significance. </w:t>
      </w:r>
      <w:r w:rsidR="00A02700">
        <w:rPr>
          <w:rFonts w:eastAsia="HGSMinchoE"/>
          <w:color w:val="538135" w:themeColor="accent6" w:themeShade="BF"/>
        </w:rPr>
        <w:t>We could not test for demographic compensation in discrete seedbank vital rate parameters</w:t>
      </w:r>
      <w:r w:rsidR="00321AC7">
        <w:rPr>
          <w:rFonts w:eastAsia="HGSMinchoE"/>
          <w:color w:val="538135" w:themeColor="accent6" w:themeShade="BF"/>
        </w:rPr>
        <w:t xml:space="preserve"> </w:t>
      </w:r>
      <w:r w:rsidR="00A02700">
        <w:rPr>
          <w:rFonts w:eastAsia="HGSMinchoE"/>
          <w:color w:val="538135" w:themeColor="accent6" w:themeShade="BF"/>
        </w:rPr>
        <w:t xml:space="preserve">because we did not know how they varied according to environmental conditions. </w:t>
      </w:r>
    </w:p>
    <w:p w14:paraId="54D32D2A" w14:textId="55EB1B78" w:rsidR="001A55D5" w:rsidRDefault="001A55D5" w:rsidP="006813DA">
      <w:pPr>
        <w:pStyle w:val="NormalWeb"/>
        <w:spacing w:line="480" w:lineRule="auto"/>
        <w:rPr>
          <w:rFonts w:eastAsia="HGSMinchoE"/>
          <w:i/>
          <w:iCs/>
          <w:color w:val="538135" w:themeColor="accent6" w:themeShade="BF"/>
        </w:rPr>
      </w:pPr>
      <w:r>
        <w:rPr>
          <w:rFonts w:eastAsia="HGSMinchoE"/>
          <w:i/>
          <w:iCs/>
          <w:color w:val="538135" w:themeColor="accent6" w:themeShade="BF"/>
        </w:rPr>
        <w:t>Evaluating Persistence Mechanisms:</w:t>
      </w:r>
      <w:r>
        <w:rPr>
          <w:rFonts w:eastAsia="HGSMinchoE"/>
          <w:i/>
          <w:iCs/>
          <w:color w:val="538135" w:themeColor="accent6" w:themeShade="BF"/>
        </w:rPr>
        <w:t xml:space="preserve"> Vital Rate Buffering</w:t>
      </w:r>
    </w:p>
    <w:p w14:paraId="3789BF55" w14:textId="700A4F13" w:rsidR="00BB3449" w:rsidRPr="00560013" w:rsidRDefault="00BB3449" w:rsidP="00560013">
      <w:pPr>
        <w:pStyle w:val="NormalWeb"/>
        <w:spacing w:line="480" w:lineRule="auto"/>
        <w:ind w:firstLine="720"/>
        <w:rPr>
          <w:i/>
          <w:iCs/>
          <w:color w:val="000000" w:themeColor="text1"/>
        </w:rPr>
      </w:pPr>
      <w:r>
        <w:rPr>
          <w:rFonts w:eastAsia="HGSMinchoE"/>
          <w:iCs/>
          <w:color w:val="538135" w:themeColor="accent6" w:themeShade="BF"/>
        </w:rPr>
        <w:t xml:space="preserve">We tested for the presence of vital rate buffering in </w:t>
      </w:r>
      <w:r>
        <w:rPr>
          <w:rFonts w:eastAsia="HGSMinchoE"/>
          <w:i/>
          <w:color w:val="538135" w:themeColor="accent6" w:themeShade="BF"/>
        </w:rPr>
        <w:t>O. coloradensis</w:t>
      </w:r>
      <w:r>
        <w:rPr>
          <w:rFonts w:eastAsia="HGSMinchoE"/>
          <w:iCs/>
          <w:color w:val="538135" w:themeColor="accent6" w:themeShade="BF"/>
        </w:rPr>
        <w:t xml:space="preserve"> populations by comparing the coefficient of variation (CV) of each vital rate parameter to its elasticity </w:t>
      </w:r>
      <w:r>
        <w:rPr>
          <w:rFonts w:eastAsia="HGSMinchoE"/>
          <w:iCs/>
          <w:color w:val="538135" w:themeColor="accent6" w:themeShade="BF"/>
        </w:rPr>
        <w:fldChar w:fldCharType="begin" w:fldLock="1"/>
      </w:r>
      <w:r w:rsidR="00C86DB2">
        <w:rPr>
          <w:rFonts w:eastAsia="HGSMinchoE"/>
          <w:iCs/>
          <w:color w:val="538135" w:themeColor="accent6" w:themeShade="BF"/>
        </w:rPr>
        <w:instrText>ADDIN CSL_CITATION {"citationItems":[{"id":"ITEM-1","itemData":{"abstract":"Variability in population growth rate is thought to have negative consequences for organism fitness. Theory for matrix population models predicts that variance in population growth rate should be the sum of the variance in each matrix entry times the squared sensitivity term for that matrix entry. I analyzed the stage-specific demography of 30 field populations from 17 published studies for pattern be- tween the variance of a demographic termand its contribution to population growth. There were no instances in which a matrix entry both was highly variable and had a large effect on population growth rate; instead, correlations between estimates of temporal variance in a term and contribution to population growth (sensitivity or elasticity) were overwhelm- ingly negative. In addition, survivorship or growth sensitivi- ties or elasticities always exceeded those of fecundity, implying that the former two terms always contributed more to popu- lation growth rate. These results suggest that variable life history stages tend to contribute relatively little to population growth rates because natural selection may alter life histories to minimize stages with both high sensitivity and high vari- ation.","author":[{"dropping-particle":"","family":"Pfister","given":"Catherine A","non-dropping-particle":"","parse-names":false,"suffix":""}],"container-title":"Proceedings of the National Academy of Sciences","id":"ITEM-1","issue":"January","issued":{"date-parts":[["1998"]]},"page":"213-218","title":"Patterns of variance in stage-structured populations : Evolutionary predictions and ecological implications","type":"article-journal","volume":"95"},"uris":["http://www.mendeley.com/documents/?uuid=452ce167-3dd0-42a7-be72-ca2d9710ab25"]},{"id":"ITEM-2","itemData":{"DOI":"10.1086/382550","ISSN":"00030147","PMID":"15122504","abstract":"Life-history theory predicts vital rates that on average make large contributions to the annual multiplication rate of a lineage should be highly buffered against environmental variability. This prediction has been tested by looking for a negative correlation between the sensitivities (or elasticities) of the elements in a projection matrix and their variances (or coefficients of variation). Here, we show by constructing random matrices that a spurious negative correlation exists between the sensitivities and variances, and between the elasticities and coefficients of variation, of matrix elements. This spurious correlation arises in part because size transition probabilities, which are bounded by 0 and 1, have a limit to their variability that often does not apply to matrix elements representing reproduction. We advocate an alternative analysis based on the underlying vital rates (not the matrix elements) that accounts for the inherent limit to the variability of zero-to-one vital rates, corrects for sampling variation, and tests for a declining upper limit to variability as a vital rate's fitness contribution increases. Applying this analysis to demographic data from five populations of the alpine cushion plant Silene acaulis, we provide evidence of stronger buffering in the vital rates that most influence fitness.","author":[{"dropping-particle":"","family":"Morris","given":"William F.","non-dropping-particle":"","parse-names":false,"suffix":""},{"dropping-particle":"","family":"Doak","given":"Daniel F.","non-dropping-particle":"","parse-names":false,"suffix":""}],"container-title":"American Naturalist","id":"ITEM-2","issue":"4","issued":{"date-parts":[["2004"]]},"page":"579-590","title":"Buffering of Life Histories against Environmental Stochasticity: Accounting for a Spurious Correlation between the Variabilities of Vital Rates and Their Contributions to Fitness","type":"article-journal","volume":"163"},"uris":["http://www.mendeley.com/documents/?uuid=35750ad5-7c63-46b8-b970-434f758404e2"]}],"mendeley":{"formattedCitation":"(Pfister 1998, Morris and Doak 2004)","plainTextFormattedCitation":"(Pfister 1998, Morris and Doak 2004)","previouslyFormattedCitation":"(Pfister 1998, Morris and Doak 2004)"},"properties":{"noteIndex":0},"schema":"https://github.com/citation-style-language/schema/raw/master/csl-citation.json"}</w:instrText>
      </w:r>
      <w:r>
        <w:rPr>
          <w:rFonts w:eastAsia="HGSMinchoE"/>
          <w:iCs/>
          <w:color w:val="538135" w:themeColor="accent6" w:themeShade="BF"/>
        </w:rPr>
        <w:fldChar w:fldCharType="separate"/>
      </w:r>
      <w:r w:rsidRPr="00BB3449">
        <w:rPr>
          <w:rFonts w:eastAsia="HGSMinchoE"/>
          <w:iCs/>
          <w:noProof/>
          <w:color w:val="538135" w:themeColor="accent6" w:themeShade="BF"/>
        </w:rPr>
        <w:t>(Pfister 1998, Morris and Doak 2004)</w:t>
      </w:r>
      <w:r>
        <w:rPr>
          <w:rFonts w:eastAsia="HGSMinchoE"/>
          <w:iCs/>
          <w:color w:val="538135" w:themeColor="accent6" w:themeShade="BF"/>
        </w:rPr>
        <w:fldChar w:fldCharType="end"/>
      </w:r>
      <w:r>
        <w:rPr>
          <w:rFonts w:eastAsia="HGSMinchoE"/>
          <w:iCs/>
          <w:color w:val="538135" w:themeColor="accent6" w:themeShade="BF"/>
        </w:rPr>
        <w:t>.</w:t>
      </w:r>
      <w:r w:rsidR="00321AC7">
        <w:rPr>
          <w:rFonts w:eastAsia="HGSMinchoE"/>
          <w:iCs/>
          <w:color w:val="538135" w:themeColor="accent6" w:themeShade="BF"/>
        </w:rPr>
        <w:t xml:space="preserve"> We used the IPM that was fit across all subpopulations using data from both transitions to calculate</w:t>
      </w:r>
      <w:r w:rsidR="006813DA">
        <w:rPr>
          <w:rFonts w:eastAsia="HGSMinchoE"/>
          <w:iCs/>
          <w:color w:val="538135" w:themeColor="accent6" w:themeShade="BF"/>
        </w:rPr>
        <w:t xml:space="preserve"> </w:t>
      </w:r>
      <w:r w:rsidR="00321AC7">
        <w:rPr>
          <w:rFonts w:eastAsia="HGSMinchoE"/>
          <w:iCs/>
          <w:color w:val="538135" w:themeColor="accent6" w:themeShade="BF"/>
        </w:rPr>
        <w:t xml:space="preserve">elasticity values for each parameter in each </w:t>
      </w:r>
      <w:r w:rsidR="006813DA">
        <w:rPr>
          <w:rFonts w:eastAsia="HGSMinchoE"/>
          <w:iCs/>
          <w:color w:val="538135" w:themeColor="accent6" w:themeShade="BF"/>
        </w:rPr>
        <w:t xml:space="preserve">continuous </w:t>
      </w:r>
      <w:r w:rsidR="00321AC7">
        <w:rPr>
          <w:rFonts w:eastAsia="HGSMinchoE"/>
          <w:iCs/>
          <w:color w:val="538135" w:themeColor="accent6" w:themeShade="BF"/>
        </w:rPr>
        <w:t xml:space="preserve">vital rate function </w:t>
      </w:r>
      <w:r w:rsidR="00FB718E">
        <w:rPr>
          <w:rFonts w:eastAsia="HGSMinchoE"/>
          <w:iCs/>
          <w:color w:val="538135" w:themeColor="accent6" w:themeShade="BF"/>
        </w:rPr>
        <w:fldChar w:fldCharType="begin" w:fldLock="1"/>
      </w:r>
      <w:r w:rsidR="00362E58">
        <w:rPr>
          <w:rFonts w:eastAsia="HGSMinchoE"/>
          <w:iCs/>
          <w:color w:val="538135" w:themeColor="accent6" w:themeShade="BF"/>
        </w:rPr>
        <w:instrText>ADDIN CSL_CITATION {"citationItems":[{"id":"ITEM-1","itemData":{"author":[{"dropping-particle":"","family":"Morris","given":"William F","non-dropping-particle":"","parse-names":false,"suffix":""},{"dropping-particle":"","family":"Doak","given":"Daniel F","non-dropping-particle":"","parse-names":false,"suffix":""}],"id":"ITEM-1","issued":{"date-parts":[["2002"]]},"publisher":"Sinauer Associates","publisher-place":"Sunderland, MA","title":"Quantitative Conservation Biology: Theory and Practice of Population Viability Analysis","type":"book"},"uris":["http://www.mendeley.com/documents/?uuid=8a36c328-f1fe-4c0b-98ec-acb1b0aec12d"]}],"mendeley":{"formattedCitation":"(Morris and Doak 2002)","plainTextFormattedCitation":"(Morris and Doak 2002)","previouslyFormattedCitation":"(Morris and Doak 2002)"},"properties":{"noteIndex":0},"schema":"https://github.com/citation-style-language/schema/raw/master/csl-citation.json"}</w:instrText>
      </w:r>
      <w:r w:rsidR="00FB718E">
        <w:rPr>
          <w:rFonts w:eastAsia="HGSMinchoE"/>
          <w:iCs/>
          <w:color w:val="538135" w:themeColor="accent6" w:themeShade="BF"/>
        </w:rPr>
        <w:fldChar w:fldCharType="separate"/>
      </w:r>
      <w:r w:rsidR="00FB718E" w:rsidRPr="00FB718E">
        <w:rPr>
          <w:rFonts w:eastAsia="HGSMinchoE"/>
          <w:iCs/>
          <w:noProof/>
          <w:color w:val="538135" w:themeColor="accent6" w:themeShade="BF"/>
        </w:rPr>
        <w:t>(Morris and Doak 2002)</w:t>
      </w:r>
      <w:r w:rsidR="00FB718E">
        <w:rPr>
          <w:rFonts w:eastAsia="HGSMinchoE"/>
          <w:iCs/>
          <w:color w:val="538135" w:themeColor="accent6" w:themeShade="BF"/>
        </w:rPr>
        <w:fldChar w:fldCharType="end"/>
      </w:r>
      <w:r w:rsidR="00321AC7">
        <w:rPr>
          <w:rFonts w:eastAsia="HGSMinchoE"/>
          <w:iCs/>
          <w:color w:val="538135" w:themeColor="accent6" w:themeShade="BF"/>
        </w:rPr>
        <w:t>.</w:t>
      </w:r>
      <w:r w:rsidR="00FB718E">
        <w:rPr>
          <w:rFonts w:eastAsia="HGSMinchoE"/>
          <w:iCs/>
          <w:color w:val="538135" w:themeColor="accent6" w:themeShade="BF"/>
        </w:rPr>
        <w:t xml:space="preserve"> We </w:t>
      </w:r>
      <w:r w:rsidR="00FB718E" w:rsidRPr="006813DA">
        <w:rPr>
          <w:rFonts w:eastAsia="HGSMinchoE"/>
          <w:iCs/>
          <w:color w:val="538135" w:themeColor="accent6" w:themeShade="BF"/>
        </w:rPr>
        <w:t xml:space="preserve">calculated the CV for each seedbank rate and vital rate function parameter using the equation </w:t>
      </w:r>
      <w:r w:rsidR="00FB718E" w:rsidRPr="006813DA">
        <w:rPr>
          <w:rFonts w:ascii="Calibri" w:eastAsia="HGSMinchoE" w:hAnsi="Calibri" w:cs="Calibri"/>
          <w:iCs/>
          <w:color w:val="538135" w:themeColor="accent6" w:themeShade="BF"/>
        </w:rPr>
        <w:t>﻿</w:t>
      </w:r>
      <w:r w:rsidR="00FB718E" w:rsidRPr="006813DA">
        <w:rPr>
          <w:rFonts w:eastAsia="HGSMinchoE"/>
          <w:iCs/>
          <w:color w:val="538135" w:themeColor="accent6" w:themeShade="BF"/>
        </w:rPr>
        <w:t>CV</w:t>
      </w:r>
      <w:r w:rsidR="006813DA" w:rsidRPr="006813DA">
        <w:rPr>
          <w:rFonts w:eastAsia="HGSMinchoE"/>
          <w:iCs/>
          <w:color w:val="538135" w:themeColor="accent6" w:themeShade="BF"/>
        </w:rPr>
        <w:t xml:space="preserve"> = (</w:t>
      </w:r>
      <w:r w:rsidR="006813DA" w:rsidRPr="006813DA">
        <w:rPr>
          <w:rFonts w:eastAsia="MS Gothic"/>
          <w:color w:val="538135" w:themeColor="accent6" w:themeShade="BF"/>
        </w:rPr>
        <w:t>σ</w:t>
      </w:r>
      <w:r w:rsidR="006813DA" w:rsidRPr="006813DA">
        <w:rPr>
          <w:rFonts w:eastAsia="MS Gothic"/>
          <w:color w:val="538135" w:themeColor="accent6" w:themeShade="BF"/>
        </w:rPr>
        <w:t xml:space="preserve"> /</w:t>
      </w:r>
      <w:r w:rsidR="006813DA" w:rsidRPr="006813DA">
        <w:rPr>
          <w:rFonts w:eastAsia="HGSMinchoE"/>
          <w:iCs/>
          <w:color w:val="538135" w:themeColor="accent6" w:themeShade="BF"/>
        </w:rPr>
        <w:t xml:space="preserve"> </w:t>
      </w:r>
      <w:r w:rsidR="006813DA" w:rsidRPr="006813DA">
        <w:rPr>
          <w:rFonts w:eastAsia="MS Gothic"/>
          <w:color w:val="538135" w:themeColor="accent6" w:themeShade="BF"/>
        </w:rPr>
        <w:t>μ</w:t>
      </w:r>
      <w:r w:rsidR="006813DA" w:rsidRPr="006813DA">
        <w:rPr>
          <w:rFonts w:eastAsia="MS Gothic"/>
          <w:color w:val="538135" w:themeColor="accent6" w:themeShade="BF"/>
        </w:rPr>
        <w:t>)*100</w:t>
      </w:r>
      <w:r w:rsidR="006813DA" w:rsidRPr="006813DA">
        <w:rPr>
          <w:rFonts w:eastAsia="HGSMinchoE"/>
          <w:iCs/>
          <w:color w:val="538135" w:themeColor="accent6" w:themeShade="BF"/>
        </w:rPr>
        <w:t xml:space="preserve">, where </w:t>
      </w:r>
      <w:r w:rsidR="006813DA" w:rsidRPr="006813DA">
        <w:rPr>
          <w:rFonts w:eastAsia="MS Gothic"/>
          <w:color w:val="538135" w:themeColor="accent6" w:themeShade="BF"/>
        </w:rPr>
        <w:t>μ</w:t>
      </w:r>
      <w:r w:rsidR="006813DA" w:rsidRPr="006813DA">
        <w:rPr>
          <w:rFonts w:eastAsia="MS Gothic"/>
          <w:color w:val="538135" w:themeColor="accent6" w:themeShade="BF"/>
        </w:rPr>
        <w:t xml:space="preserve"> and </w:t>
      </w:r>
      <w:r w:rsidR="006813DA" w:rsidRPr="006813DA">
        <w:rPr>
          <w:rFonts w:eastAsia="MS Gothic"/>
          <w:color w:val="538135" w:themeColor="accent6" w:themeShade="BF"/>
        </w:rPr>
        <w:t xml:space="preserve">σ </w:t>
      </w:r>
      <w:r w:rsidR="006813DA" w:rsidRPr="006813DA">
        <w:rPr>
          <w:rFonts w:eastAsia="MS Gothic"/>
          <w:color w:val="538135" w:themeColor="accent6" w:themeShade="BF"/>
        </w:rPr>
        <w:t xml:space="preserve"> represent the mean and standard deviation </w:t>
      </w:r>
      <w:r w:rsidR="00B32A1E">
        <w:rPr>
          <w:rFonts w:eastAsia="MS Gothic"/>
          <w:color w:val="538135" w:themeColor="accent6" w:themeShade="BF"/>
        </w:rPr>
        <w:t>of observed values of</w:t>
      </w:r>
      <w:r w:rsidR="006813DA" w:rsidRPr="006813DA">
        <w:rPr>
          <w:rFonts w:eastAsia="MS Gothic"/>
          <w:color w:val="538135" w:themeColor="accent6" w:themeShade="BF"/>
        </w:rPr>
        <w:t xml:space="preserve"> each vital rate, respectively. </w:t>
      </w:r>
      <w:r w:rsidR="006813DA">
        <w:rPr>
          <w:rFonts w:eastAsia="MS Gothic"/>
          <w:color w:val="538135" w:themeColor="accent6" w:themeShade="BF"/>
        </w:rPr>
        <w:t>The</w:t>
      </w:r>
      <w:r w:rsidR="00B32A1E">
        <w:rPr>
          <w:rFonts w:eastAsia="MS Gothic"/>
          <w:color w:val="538135" w:themeColor="accent6" w:themeShade="BF"/>
        </w:rPr>
        <w:t>se</w:t>
      </w:r>
      <w:r w:rsidR="006813DA">
        <w:rPr>
          <w:rFonts w:eastAsia="MS Gothic"/>
          <w:color w:val="538135" w:themeColor="accent6" w:themeShade="BF"/>
        </w:rPr>
        <w:t xml:space="preserve"> “observed values” </w:t>
      </w:r>
      <w:r w:rsidR="00B32A1E">
        <w:rPr>
          <w:rFonts w:eastAsia="MS Gothic"/>
          <w:color w:val="538135" w:themeColor="accent6" w:themeShade="BF"/>
        </w:rPr>
        <w:t xml:space="preserve">were </w:t>
      </w:r>
      <w:r w:rsidR="00794336">
        <w:rPr>
          <w:rFonts w:eastAsia="MS Gothic"/>
          <w:color w:val="538135" w:themeColor="accent6" w:themeShade="BF"/>
        </w:rPr>
        <w:t xml:space="preserve">12 </w:t>
      </w:r>
      <w:r w:rsidR="00B32A1E">
        <w:rPr>
          <w:rFonts w:eastAsia="MS Gothic"/>
          <w:color w:val="538135" w:themeColor="accent6" w:themeShade="BF"/>
        </w:rPr>
        <w:t>parameter estimates</w:t>
      </w:r>
      <w:r w:rsidR="00794336">
        <w:rPr>
          <w:rFonts w:eastAsia="MS Gothic"/>
          <w:color w:val="538135" w:themeColor="accent6" w:themeShade="BF"/>
        </w:rPr>
        <w:t xml:space="preserve"> for each vital rate parameter which were taken</w:t>
      </w:r>
      <w:r w:rsidR="00B32A1E">
        <w:rPr>
          <w:rFonts w:eastAsia="MS Gothic"/>
          <w:color w:val="538135" w:themeColor="accent6" w:themeShade="BF"/>
        </w:rPr>
        <w:t xml:space="preserve"> from the vital rate functions that were fit uniquely for each subpopulation and each transition.</w:t>
      </w:r>
      <w:r w:rsidR="00794336">
        <w:rPr>
          <w:rFonts w:eastAsia="MS Gothic"/>
          <w:color w:val="538135" w:themeColor="accent6" w:themeShade="BF"/>
        </w:rPr>
        <w:t xml:space="preserve"> </w:t>
      </w:r>
      <w:r w:rsidR="00E739D5">
        <w:rPr>
          <w:rFonts w:eastAsia="MS Gothic"/>
          <w:color w:val="538135" w:themeColor="accent6" w:themeShade="BF"/>
        </w:rPr>
        <w:t>We used Spearman correlations to identify significant correlation between the CV and elasticity of each vital rate parameter</w:t>
      </w:r>
      <w:r w:rsidR="00362E58">
        <w:rPr>
          <w:rFonts w:eastAsia="MS Gothic"/>
          <w:color w:val="538135" w:themeColor="accent6" w:themeShade="BF"/>
        </w:rPr>
        <w:t xml:space="preserve"> </w:t>
      </w:r>
      <w:r w:rsidR="00362E58">
        <w:rPr>
          <w:rFonts w:eastAsia="MS Gothic"/>
          <w:color w:val="538135" w:themeColor="accent6" w:themeShade="BF"/>
        </w:rPr>
        <w:fldChar w:fldCharType="begin" w:fldLock="1"/>
      </w:r>
      <w:r w:rsidR="00887903">
        <w:rPr>
          <w:rFonts w:eastAsia="MS Gothic"/>
          <w:color w:val="538135" w:themeColor="accent6" w:themeShade="BF"/>
        </w:rPr>
        <w:instrText>ADDIN CSL_CITATION {"citationItems":[{"id":"ITEM-1","itemData":{"abstract":"Variability in population growth rate is thought to have negative consequences for organism fitness. Theory for matrix population models predicts that variance in population growth rate should be the sum of the variance in each matrix entry times the squared sensitivity term for that matrix entry. I analyzed the stage-specific demography of 30 field populations from 17 published studies for pattern be- tween the variance of a demographic termand its contribution to population growth. There were no instances in which a matrix entry both was highly variable and had a large effect on population growth rate; instead, correlations between estimates of temporal variance in a term and contribution to population growth (sensitivity or elasticity) were overwhelm- ingly negative. In addition, survivorship or growth sensitivi- ties or elasticities always exceeded those of fecundity, implying that the former two terms always contributed more to popu- lation growth rate. These results suggest that variable life history stages tend to contribute relatively little to population growth rates because natural selection may alter life histories to minimize stages with both high sensitivity and high vari- ation.","author":[{"dropping-particle":"","family":"Pfister","given":"Catherine A","non-dropping-particle":"","parse-names":false,"suffix":""}],"container-title":"Proceedings of the National Academy of Sciences","id":"ITEM-1","issue":"January","issued":{"date-parts":[["1998"]]},"page":"213-218","title":"Patterns of variance in stage-structured populations : Evolutionary predictions and ecological implications","type":"article-journal","volume":"95"},"uris":["http://www.mendeley.com/documents/?uuid=452ce167-3dd0-42a7-be72-ca2d9710ab25"]}],"mendeley":{"formattedCitation":"(Pfister 1998)","plainTextFormattedCitation":"(Pfister 1998)","previouslyFormattedCitation":"(Pfister 1998)"},"properties":{"noteIndex":0},"schema":"https://github.com/citation-style-language/schema/raw/master/csl-citation.json"}</w:instrText>
      </w:r>
      <w:r w:rsidR="00362E58">
        <w:rPr>
          <w:rFonts w:eastAsia="MS Gothic"/>
          <w:color w:val="538135" w:themeColor="accent6" w:themeShade="BF"/>
        </w:rPr>
        <w:fldChar w:fldCharType="separate"/>
      </w:r>
      <w:r w:rsidR="00362E58" w:rsidRPr="00362E58">
        <w:rPr>
          <w:rFonts w:eastAsia="MS Gothic"/>
          <w:noProof/>
          <w:color w:val="538135" w:themeColor="accent6" w:themeShade="BF"/>
        </w:rPr>
        <w:t>(Pfister 1998)</w:t>
      </w:r>
      <w:r w:rsidR="00362E58">
        <w:rPr>
          <w:rFonts w:eastAsia="MS Gothic"/>
          <w:color w:val="538135" w:themeColor="accent6" w:themeShade="BF"/>
        </w:rPr>
        <w:fldChar w:fldCharType="end"/>
      </w:r>
      <w:r w:rsidR="00E739D5">
        <w:rPr>
          <w:rFonts w:eastAsia="MS Gothic"/>
          <w:color w:val="538135" w:themeColor="accent6" w:themeShade="BF"/>
        </w:rPr>
        <w:t xml:space="preserve">. A significant negative correlation indicated </w:t>
      </w:r>
      <w:r w:rsidR="00362E58">
        <w:rPr>
          <w:rFonts w:eastAsia="MS Gothic"/>
          <w:color w:val="538135" w:themeColor="accent6" w:themeShade="BF"/>
        </w:rPr>
        <w:t>that vital</w:t>
      </w:r>
      <w:r w:rsidR="00E739D5">
        <w:rPr>
          <w:rFonts w:eastAsia="MS Gothic"/>
          <w:color w:val="538135" w:themeColor="accent6" w:themeShade="BF"/>
        </w:rPr>
        <w:t xml:space="preserve"> rate buffering</w:t>
      </w:r>
      <w:r w:rsidR="00362E58">
        <w:rPr>
          <w:rFonts w:eastAsia="MS Gothic"/>
          <w:color w:val="538135" w:themeColor="accent6" w:themeShade="BF"/>
        </w:rPr>
        <w:t xml:space="preserve"> was present. We were unable to estimate CV values for discrete, seedbank vital rates and so could not determine whether they were contributing to vital rate buffering. </w:t>
      </w:r>
    </w:p>
    <w:p w14:paraId="6E780928" w14:textId="44F44FCF" w:rsidR="001A55D5" w:rsidRDefault="001A55D5" w:rsidP="00EE7026">
      <w:pPr>
        <w:pStyle w:val="NormalWeb"/>
        <w:spacing w:line="480" w:lineRule="auto"/>
        <w:rPr>
          <w:rFonts w:eastAsia="HGSMinchoE"/>
          <w:i/>
          <w:iCs/>
          <w:color w:val="538135" w:themeColor="accent6" w:themeShade="BF"/>
        </w:rPr>
      </w:pPr>
      <w:r>
        <w:rPr>
          <w:rFonts w:eastAsia="HGSMinchoE"/>
          <w:i/>
          <w:iCs/>
          <w:color w:val="538135" w:themeColor="accent6" w:themeShade="BF"/>
        </w:rPr>
        <w:t>Evaluating Persistence Mechanisms:</w:t>
      </w:r>
      <w:r>
        <w:rPr>
          <w:rFonts w:eastAsia="HGSMinchoE"/>
          <w:i/>
          <w:iCs/>
          <w:color w:val="538135" w:themeColor="accent6" w:themeShade="BF"/>
        </w:rPr>
        <w:t xml:space="preserve"> Asynchronous Responses</w:t>
      </w:r>
      <w:r w:rsidR="002C3602">
        <w:rPr>
          <w:rFonts w:eastAsia="HGSMinchoE"/>
          <w:i/>
          <w:iCs/>
          <w:color w:val="538135" w:themeColor="accent6" w:themeShade="BF"/>
        </w:rPr>
        <w:t xml:space="preserve"> and Source-Sink Dynamics</w:t>
      </w:r>
    </w:p>
    <w:p w14:paraId="68A092BC" w14:textId="3D5C9BD0" w:rsidR="002C3602" w:rsidRDefault="002C3602" w:rsidP="00EE7026">
      <w:pPr>
        <w:pStyle w:val="NormalWeb"/>
        <w:spacing w:line="480" w:lineRule="auto"/>
        <w:rPr>
          <w:rFonts w:eastAsia="HGSMinchoE"/>
          <w:color w:val="538135" w:themeColor="accent6" w:themeShade="BF"/>
        </w:rPr>
      </w:pPr>
      <w:r>
        <w:rPr>
          <w:rFonts w:eastAsia="HGSMinchoE"/>
          <w:i/>
          <w:iCs/>
          <w:color w:val="538135" w:themeColor="accent6" w:themeShade="BF"/>
        </w:rPr>
        <w:tab/>
      </w:r>
      <w:r>
        <w:rPr>
          <w:rFonts w:eastAsia="HGSMinchoE"/>
          <w:color w:val="538135" w:themeColor="accent6" w:themeShade="BF"/>
        </w:rPr>
        <w:t xml:space="preserve">We conducted two tests to determine whether </w:t>
      </w:r>
      <w:r>
        <w:rPr>
          <w:rFonts w:eastAsia="HGSMinchoE"/>
          <w:i/>
          <w:iCs/>
          <w:color w:val="538135" w:themeColor="accent6" w:themeShade="BF"/>
        </w:rPr>
        <w:t>O. coloradensis</w:t>
      </w:r>
      <w:r>
        <w:rPr>
          <w:rFonts w:eastAsia="HGSMinchoE"/>
          <w:color w:val="538135" w:themeColor="accent6" w:themeShade="BF"/>
        </w:rPr>
        <w:t xml:space="preserve"> subpopulations showed asynchronous responses to environmental variation. First, we made </w:t>
      </w:r>
      <w:r w:rsidR="00587C4D">
        <w:rPr>
          <w:rFonts w:eastAsia="HGSMinchoE"/>
          <w:color w:val="538135" w:themeColor="accent6" w:themeShade="BF"/>
        </w:rPr>
        <w:t>a correlation</w:t>
      </w:r>
      <w:r>
        <w:rPr>
          <w:rFonts w:eastAsia="HGSMinchoE"/>
          <w:color w:val="538135" w:themeColor="accent6" w:themeShade="BF"/>
        </w:rPr>
        <w:t xml:space="preserve"> matri</w:t>
      </w:r>
      <w:r w:rsidR="00587C4D">
        <w:rPr>
          <w:rFonts w:eastAsia="HGSMinchoE"/>
          <w:color w:val="538135" w:themeColor="accent6" w:themeShade="BF"/>
        </w:rPr>
        <w:t>x</w:t>
      </w:r>
      <w:r>
        <w:rPr>
          <w:rFonts w:eastAsia="HGSMinchoE"/>
          <w:color w:val="538135" w:themeColor="accent6" w:themeShade="BF"/>
        </w:rPr>
        <w:t xml:space="preserve"> to determine </w:t>
      </w:r>
      <w:r w:rsidRPr="00B228DE">
        <w:rPr>
          <w:rFonts w:eastAsia="HGSMinchoE"/>
          <w:color w:val="538135" w:themeColor="accent6" w:themeShade="BF"/>
        </w:rPr>
        <w:t xml:space="preserve">how </w:t>
      </w:r>
      <w:r w:rsidR="00587C4D" w:rsidRPr="00B228DE">
        <w:rPr>
          <w:rFonts w:eastAsia="HGSMinchoE"/>
          <w:color w:val="538135" w:themeColor="accent6" w:themeShade="BF"/>
        </w:rPr>
        <w:t xml:space="preserve">change in </w:t>
      </w:r>
      <w:r w:rsidRPr="00B228DE">
        <w:rPr>
          <w:rFonts w:eastAsia="HGSMinchoE"/>
          <w:color w:val="538135" w:themeColor="accent6" w:themeShade="BF"/>
        </w:rPr>
        <w:t>λ</w:t>
      </w:r>
      <w:r w:rsidRPr="00B228DE">
        <w:rPr>
          <w:rFonts w:eastAsia="HGSMinchoE"/>
          <w:color w:val="538135" w:themeColor="accent6" w:themeShade="BF"/>
        </w:rPr>
        <w:t xml:space="preserve"> </w:t>
      </w:r>
      <w:r w:rsidR="00587C4D" w:rsidRPr="00B228DE">
        <w:rPr>
          <w:rFonts w:eastAsia="HGSMinchoE"/>
          <w:color w:val="538135" w:themeColor="accent6" w:themeShade="BF"/>
        </w:rPr>
        <w:t xml:space="preserve">across each transition </w:t>
      </w:r>
      <w:r w:rsidRPr="00B228DE">
        <w:rPr>
          <w:rFonts w:eastAsia="HGSMinchoE"/>
          <w:color w:val="538135" w:themeColor="accent6" w:themeShade="BF"/>
        </w:rPr>
        <w:t xml:space="preserve">was correlated </w:t>
      </w:r>
      <w:r w:rsidR="00587C4D" w:rsidRPr="00B228DE">
        <w:rPr>
          <w:rFonts w:eastAsia="HGSMinchoE"/>
          <w:color w:val="538135" w:themeColor="accent6" w:themeShade="BF"/>
        </w:rPr>
        <w:t>across</w:t>
      </w:r>
      <w:r w:rsidRPr="00B228DE">
        <w:rPr>
          <w:rFonts w:eastAsia="HGSMinchoE"/>
          <w:color w:val="538135" w:themeColor="accent6" w:themeShade="BF"/>
        </w:rPr>
        <w:t xml:space="preserve"> each subpopulation, using </w:t>
      </w:r>
      <w:r w:rsidR="00587C4D" w:rsidRPr="00B228DE">
        <w:rPr>
          <w:rFonts w:eastAsia="HGSMinchoE"/>
          <w:color w:val="538135" w:themeColor="accent6" w:themeShade="BF"/>
        </w:rPr>
        <w:t xml:space="preserve">values of  </w:t>
      </w:r>
      <w:r w:rsidRPr="00B228DE">
        <w:rPr>
          <w:rFonts w:eastAsia="HGSMinchoE"/>
          <w:color w:val="538135" w:themeColor="accent6" w:themeShade="BF"/>
        </w:rPr>
        <w:t>λ</w:t>
      </w:r>
      <w:r w:rsidRPr="00B228DE">
        <w:rPr>
          <w:rFonts w:eastAsia="HGSMinchoE"/>
          <w:color w:val="538135" w:themeColor="accent6" w:themeShade="BF"/>
        </w:rPr>
        <w:t xml:space="preserve"> </w:t>
      </w:r>
      <w:r w:rsidR="00587C4D" w:rsidRPr="00B228DE">
        <w:rPr>
          <w:rFonts w:eastAsia="HGSMinchoE"/>
          <w:color w:val="538135" w:themeColor="accent6" w:themeShade="BF"/>
        </w:rPr>
        <w:t xml:space="preserve">derived from IPMs for each subpopulation in each transition. We used Mantel tests to determine if the correlation of  </w:t>
      </w:r>
      <w:r w:rsidR="00587C4D" w:rsidRPr="00B228DE">
        <w:rPr>
          <w:rFonts w:eastAsia="HGSMinchoE"/>
          <w:color w:val="538135" w:themeColor="accent6" w:themeShade="BF"/>
        </w:rPr>
        <w:t>λ</w:t>
      </w:r>
      <w:r w:rsidR="00587C4D" w:rsidRPr="00B228DE">
        <w:rPr>
          <w:rFonts w:eastAsia="HGSMinchoE"/>
          <w:color w:val="538135" w:themeColor="accent6" w:themeShade="BF"/>
        </w:rPr>
        <w:t xml:space="preserve"> across subpopulations was significantly related to the Euclidian distance between each subpopulation. A positive relationship between subpopulation proximity and degree of correlation of </w:t>
      </w:r>
      <w:r w:rsidR="00587C4D" w:rsidRPr="00B228DE">
        <w:rPr>
          <w:rFonts w:eastAsia="HGSMinchoE"/>
          <w:color w:val="538135" w:themeColor="accent6" w:themeShade="BF"/>
        </w:rPr>
        <w:t>λ</w:t>
      </w:r>
      <w:r w:rsidR="00587C4D" w:rsidRPr="00B228DE">
        <w:rPr>
          <w:rFonts w:eastAsia="HGSMinchoE"/>
          <w:color w:val="538135" w:themeColor="accent6" w:themeShade="BF"/>
        </w:rPr>
        <w:t xml:space="preserve"> was evidence for spatial asynchrony between subpopulations.</w:t>
      </w:r>
      <w:r w:rsidR="00B228DE" w:rsidRPr="00B228DE">
        <w:rPr>
          <w:rFonts w:eastAsia="HGSMinchoE"/>
          <w:color w:val="538135" w:themeColor="accent6" w:themeShade="BF"/>
        </w:rPr>
        <w:t xml:space="preserve"> </w:t>
      </w:r>
      <w:r w:rsidR="00587C4D" w:rsidRPr="00B228DE">
        <w:rPr>
          <w:rFonts w:eastAsia="HGSMinchoE"/>
          <w:color w:val="538135" w:themeColor="accent6" w:themeShade="BF"/>
        </w:rPr>
        <w:t xml:space="preserve"> </w:t>
      </w:r>
      <w:r w:rsidR="00B228DE">
        <w:rPr>
          <w:rFonts w:eastAsia="HGSMinchoE"/>
          <w:color w:val="538135" w:themeColor="accent6" w:themeShade="BF"/>
        </w:rPr>
        <w:t>W</w:t>
      </w:r>
      <w:r w:rsidR="00B228DE">
        <w:rPr>
          <w:rFonts w:eastAsia="HGSMinchoE"/>
          <w:color w:val="538135" w:themeColor="accent6" w:themeShade="BF"/>
        </w:rPr>
        <w:t xml:space="preserve">e </w:t>
      </w:r>
      <w:r w:rsidR="00B228DE">
        <w:rPr>
          <w:rFonts w:eastAsia="HGSMinchoE"/>
          <w:color w:val="538135" w:themeColor="accent6" w:themeShade="BF"/>
        </w:rPr>
        <w:t xml:space="preserve">also </w:t>
      </w:r>
      <w:r w:rsidR="00B228DE">
        <w:rPr>
          <w:rFonts w:eastAsia="HGSMinchoE"/>
          <w:color w:val="538135" w:themeColor="accent6" w:themeShade="BF"/>
        </w:rPr>
        <w:t>used the “</w:t>
      </w:r>
      <w:proofErr w:type="spellStart"/>
      <w:r w:rsidR="00B228DE">
        <w:rPr>
          <w:rFonts w:eastAsia="HGSMinchoE"/>
          <w:color w:val="538135" w:themeColor="accent6" w:themeShade="BF"/>
        </w:rPr>
        <w:t>ipmr</w:t>
      </w:r>
      <w:proofErr w:type="spellEnd"/>
      <w:r w:rsidR="00B228DE">
        <w:rPr>
          <w:rFonts w:eastAsia="HGSMinchoE"/>
          <w:color w:val="538135" w:themeColor="accent6" w:themeShade="BF"/>
        </w:rPr>
        <w:t>” R package to project each population</w:t>
      </w:r>
      <w:r w:rsidR="00B228DE">
        <w:rPr>
          <w:rFonts w:eastAsia="HGSMinchoE"/>
          <w:color w:val="538135" w:themeColor="accent6" w:themeShade="BF"/>
        </w:rPr>
        <w:t xml:space="preserve"> (Soapstone prairie and FEWAFB)</w:t>
      </w:r>
      <w:r w:rsidR="00B228DE">
        <w:rPr>
          <w:rFonts w:eastAsia="HGSMinchoE"/>
          <w:color w:val="538135" w:themeColor="accent6" w:themeShade="BF"/>
        </w:rPr>
        <w:t xml:space="preserve"> forward 100 years</w:t>
      </w:r>
      <w:r w:rsidR="00B228DE">
        <w:rPr>
          <w:rFonts w:eastAsia="HGSMinchoE"/>
          <w:color w:val="538135" w:themeColor="accent6" w:themeShade="BF"/>
        </w:rPr>
        <w:t>. Once set of projections included a random effect of subpopulation in vital rate functions to account for spatial asynchrony in demographic processes, and the other set did not</w:t>
      </w:r>
      <w:r w:rsidR="00B228DE">
        <w:rPr>
          <w:rFonts w:eastAsia="HGSMinchoE"/>
          <w:color w:val="538135" w:themeColor="accent6" w:themeShade="BF"/>
        </w:rPr>
        <w:t>. Each projection was repeated 1000 times</w:t>
      </w:r>
      <w:r w:rsidR="00B228DE">
        <w:rPr>
          <w:rFonts w:eastAsia="HGSMinchoE"/>
          <w:color w:val="538135" w:themeColor="accent6" w:themeShade="BF"/>
        </w:rPr>
        <w:t xml:space="preserve">, and </w:t>
      </w:r>
      <w:r w:rsidR="00B228DE">
        <w:rPr>
          <w:rFonts w:eastAsia="HGSMinchoE"/>
          <w:color w:val="538135" w:themeColor="accent6" w:themeShade="BF"/>
        </w:rPr>
        <w:t>i</w:t>
      </w:r>
      <w:r w:rsidR="00B228DE">
        <w:rPr>
          <w:rFonts w:eastAsia="HGSMinchoE"/>
          <w:color w:val="538135" w:themeColor="accent6" w:themeShade="BF"/>
        </w:rPr>
        <w:t>cluded</w:t>
      </w:r>
      <w:r w:rsidR="00B228DE">
        <w:rPr>
          <w:rFonts w:eastAsia="HGSMinchoE"/>
          <w:color w:val="538135" w:themeColor="accent6" w:themeShade="BF"/>
        </w:rPr>
        <w:t xml:space="preserve"> the effects of density dependence and demographic stochasticity.</w:t>
      </w:r>
      <w:r w:rsidR="00B228DE">
        <w:rPr>
          <w:rFonts w:eastAsia="HGSMinchoE"/>
          <w:color w:val="538135" w:themeColor="accent6" w:themeShade="BF"/>
        </w:rPr>
        <w:t xml:space="preserve"> A difference in stochastic </w:t>
      </w:r>
      <w:r w:rsidR="00B228DE" w:rsidRPr="00B228DE">
        <w:rPr>
          <w:rFonts w:eastAsia="HGSMinchoE"/>
          <w:color w:val="538135" w:themeColor="accent6" w:themeShade="BF"/>
        </w:rPr>
        <w:t>λ</w:t>
      </w:r>
      <w:r w:rsidR="00B228DE">
        <w:rPr>
          <w:rFonts w:eastAsia="HGSMinchoE"/>
          <w:color w:val="538135" w:themeColor="accent6" w:themeShade="BF"/>
        </w:rPr>
        <w:t xml:space="preserve"> (</w:t>
      </w:r>
      <w:proofErr w:type="spellStart"/>
      <w:r w:rsidR="00B228DE" w:rsidRPr="00B228DE">
        <w:rPr>
          <w:rFonts w:eastAsia="HGSMinchoE"/>
          <w:color w:val="538135" w:themeColor="accent6" w:themeShade="BF"/>
        </w:rPr>
        <w:t>λ</w:t>
      </w:r>
      <w:r w:rsidR="00B228DE">
        <w:rPr>
          <w:rFonts w:eastAsia="HGSMinchoE"/>
          <w:color w:val="538135" w:themeColor="accent6" w:themeShade="BF"/>
          <w:vertAlign w:val="subscript"/>
        </w:rPr>
        <w:t>s</w:t>
      </w:r>
      <w:proofErr w:type="spellEnd"/>
      <w:r w:rsidR="00B228DE">
        <w:rPr>
          <w:rFonts w:eastAsia="HGSMinchoE"/>
          <w:color w:val="538135" w:themeColor="accent6" w:themeShade="BF"/>
        </w:rPr>
        <w:t>) between projections with and without a random effect of subpopulation would indicate that spatial asynchrony</w:t>
      </w:r>
      <w:r w:rsidR="0014340A">
        <w:rPr>
          <w:rFonts w:eastAsia="HGSMinchoE"/>
          <w:color w:val="538135" w:themeColor="accent6" w:themeShade="BF"/>
        </w:rPr>
        <w:t xml:space="preserve"> was important for demographic processes in these populations. </w:t>
      </w:r>
    </w:p>
    <w:p w14:paraId="629892AB" w14:textId="30302158" w:rsidR="0014340A" w:rsidRPr="0014340A" w:rsidRDefault="0014340A" w:rsidP="00EE7026">
      <w:pPr>
        <w:pStyle w:val="NormalWeb"/>
        <w:spacing w:line="480" w:lineRule="auto"/>
        <w:rPr>
          <w:rFonts w:eastAsia="HGSMinchoE"/>
          <w:i/>
          <w:iCs/>
          <w:color w:val="538135" w:themeColor="accent6" w:themeShade="BF"/>
        </w:rPr>
      </w:pPr>
      <w:r>
        <w:rPr>
          <w:rFonts w:eastAsia="HGSMinchoE"/>
          <w:color w:val="538135" w:themeColor="accent6" w:themeShade="BF"/>
        </w:rPr>
        <w:tab/>
        <w:t xml:space="preserve">Because we did not have information about gene flow between subpopulations of </w:t>
      </w:r>
      <w:r>
        <w:rPr>
          <w:rFonts w:eastAsia="HGSMinchoE"/>
          <w:i/>
          <w:iCs/>
          <w:color w:val="538135" w:themeColor="accent6" w:themeShade="BF"/>
        </w:rPr>
        <w:t>O. coloradensis</w:t>
      </w:r>
      <w:r>
        <w:rPr>
          <w:rFonts w:eastAsia="HGSMinchoE"/>
          <w:color w:val="538135" w:themeColor="accent6" w:themeShade="BF"/>
        </w:rPr>
        <w:t xml:space="preserve"> via pollination or seed dispersal, it was not possible to directly measure whether fine-scale source-sink dynamics were acting in these populations. However, </w:t>
      </w:r>
      <w:r>
        <w:rPr>
          <w:rFonts w:eastAsia="HGSMinchoE"/>
          <w:color w:val="538135" w:themeColor="accent6" w:themeShade="BF"/>
        </w:rPr>
        <w:t xml:space="preserve">because variation in  </w:t>
      </w:r>
      <w:r>
        <w:rPr>
          <w:rFonts w:eastAsia="HGSMinchoE"/>
          <w:color w:val="538135" w:themeColor="accent6" w:themeShade="BF"/>
        </w:rPr>
        <w:t>population growth rate across space is a pre-requisite for source-sink dynamics, the previously described tests for spatial asynchrony in subpopulations can also provide some evidence for the existence of source-sink dynamics.</w:t>
      </w:r>
    </w:p>
    <w:p w14:paraId="7782FC97" w14:textId="61B3340B" w:rsidR="00B31A8E" w:rsidRDefault="00B31A8E" w:rsidP="00DD546B">
      <w:pPr>
        <w:pStyle w:val="NormalWeb"/>
        <w:spacing w:line="480" w:lineRule="auto"/>
        <w:rPr>
          <w:rFonts w:eastAsia="HGSMinchoE"/>
          <w:i/>
          <w:iCs/>
          <w:color w:val="538135" w:themeColor="accent6" w:themeShade="BF"/>
        </w:rPr>
      </w:pPr>
      <w:r>
        <w:rPr>
          <w:rFonts w:eastAsia="HGSMinchoE"/>
          <w:i/>
          <w:iCs/>
          <w:color w:val="538135" w:themeColor="accent6" w:themeShade="BF"/>
        </w:rPr>
        <w:t>Determining population stability over time</w:t>
      </w:r>
    </w:p>
    <w:p w14:paraId="32E06C9A" w14:textId="6F9CEFFA" w:rsidR="00B31A8E" w:rsidRPr="00887903" w:rsidRDefault="00B31A8E" w:rsidP="00DD546B">
      <w:pPr>
        <w:pStyle w:val="NormalWeb"/>
        <w:spacing w:line="480" w:lineRule="auto"/>
        <w:rPr>
          <w:rFonts w:eastAsia="HGSMinchoE"/>
          <w:color w:val="538135" w:themeColor="accent6" w:themeShade="BF"/>
        </w:rPr>
      </w:pPr>
      <w:r>
        <w:rPr>
          <w:rFonts w:eastAsia="HGSMinchoE"/>
          <w:color w:val="538135" w:themeColor="accent6" w:themeShade="BF"/>
        </w:rPr>
        <w:tab/>
      </w:r>
      <w:r w:rsidR="009F6A12">
        <w:rPr>
          <w:rFonts w:eastAsia="HGSMinchoE"/>
          <w:color w:val="538135" w:themeColor="accent6" w:themeShade="BF"/>
        </w:rPr>
        <w:t>To determine the likelihood that each population (Soapstone prairie and FEWAFB) would persist, w</w:t>
      </w:r>
      <w:r>
        <w:rPr>
          <w:rFonts w:eastAsia="HGSMinchoE"/>
          <w:color w:val="538135" w:themeColor="accent6" w:themeShade="BF"/>
        </w:rPr>
        <w:t>e used the “</w:t>
      </w:r>
      <w:proofErr w:type="spellStart"/>
      <w:r>
        <w:rPr>
          <w:rFonts w:eastAsia="HGSMinchoE"/>
          <w:color w:val="538135" w:themeColor="accent6" w:themeShade="BF"/>
        </w:rPr>
        <w:t>ipmr</w:t>
      </w:r>
      <w:proofErr w:type="spellEnd"/>
      <w:r>
        <w:rPr>
          <w:rFonts w:eastAsia="HGSMinchoE"/>
          <w:color w:val="538135" w:themeColor="accent6" w:themeShade="BF"/>
        </w:rPr>
        <w:t xml:space="preserve">” </w:t>
      </w:r>
      <w:r w:rsidR="00EA295F">
        <w:rPr>
          <w:rFonts w:eastAsia="HGSMinchoE"/>
          <w:color w:val="538135" w:themeColor="accent6" w:themeShade="BF"/>
        </w:rPr>
        <w:t xml:space="preserve">R </w:t>
      </w:r>
      <w:r>
        <w:rPr>
          <w:rFonts w:eastAsia="HGSMinchoE"/>
          <w:color w:val="538135" w:themeColor="accent6" w:themeShade="BF"/>
        </w:rPr>
        <w:t xml:space="preserve">package to project each </w:t>
      </w:r>
      <w:r w:rsidR="009F6A12">
        <w:rPr>
          <w:rFonts w:eastAsia="HGSMinchoE"/>
          <w:color w:val="538135" w:themeColor="accent6" w:themeShade="BF"/>
        </w:rPr>
        <w:t>population</w:t>
      </w:r>
      <w:r>
        <w:rPr>
          <w:rFonts w:eastAsia="HGSMinchoE"/>
          <w:color w:val="538135" w:themeColor="accent6" w:themeShade="BF"/>
        </w:rPr>
        <w:t xml:space="preserve"> forward 100 years, incorporating the effects of density dependence</w:t>
      </w:r>
      <w:r w:rsidR="00F54047">
        <w:rPr>
          <w:rFonts w:eastAsia="HGSMinchoE"/>
          <w:color w:val="538135" w:themeColor="accent6" w:themeShade="BF"/>
        </w:rPr>
        <w:t xml:space="preserve"> and demographic and environmental stochasticity.</w:t>
      </w:r>
      <w:r w:rsidR="009F6A12">
        <w:rPr>
          <w:rFonts w:eastAsia="HGSMinchoE"/>
          <w:color w:val="538135" w:themeColor="accent6" w:themeShade="BF"/>
        </w:rPr>
        <w:t xml:space="preserve"> Each projection was repeated 1000 times. We did one set of projections using climate values that were randomly drawn from the distribution of observed climate values at each population</w:t>
      </w:r>
      <w:r w:rsidR="00887903">
        <w:rPr>
          <w:rFonts w:eastAsia="HGSMinchoE"/>
          <w:color w:val="538135" w:themeColor="accent6" w:themeShade="BF"/>
        </w:rPr>
        <w:t xml:space="preserve"> site. A second set of projections drew climate values from distributions that were 10 % warmer and 10 % drier than the observed climate, which provided a rough estimate of how </w:t>
      </w:r>
      <w:r w:rsidR="00887903">
        <w:rPr>
          <w:rFonts w:eastAsia="HGSMinchoE"/>
          <w:i/>
          <w:iCs/>
          <w:color w:val="538135" w:themeColor="accent6" w:themeShade="BF"/>
        </w:rPr>
        <w:t>O. coloradensis</w:t>
      </w:r>
      <w:r w:rsidR="00887903">
        <w:rPr>
          <w:rFonts w:eastAsia="HGSMinchoE"/>
          <w:color w:val="538135" w:themeColor="accent6" w:themeShade="BF"/>
        </w:rPr>
        <w:t xml:space="preserve"> populations may fare under the generally hotter and drier conditions that will be brought on by climate change </w:t>
      </w:r>
      <w:r w:rsidR="00887903">
        <w:rPr>
          <w:rFonts w:eastAsia="HGSMinchoE"/>
          <w:color w:val="538135" w:themeColor="accent6" w:themeShade="BF"/>
        </w:rPr>
        <w:fldChar w:fldCharType="begin" w:fldLock="1"/>
      </w:r>
      <w:r w:rsidR="00887903">
        <w:rPr>
          <w:rFonts w:eastAsia="HGSMinchoE"/>
          <w:color w:val="538135" w:themeColor="accent6" w:themeShade="BF"/>
        </w:rPr>
        <w:instrText>ADDIN CSL_CITATION {"citationItems":[{"id":"ITEM-1","itemData":{"DOI":"10.1016/j.earscirev.2019.102953","ISSN":"00128252","abstract":"This article reviews current drought effects on environmental systems. It stresses the need for considering environmental drought as a relevant type to be included in drought classifications. Here we illustrate that drought has complex environmental effects and affects many different systems (e.g., soils, air, vegetation, and forests, aquatic systems and wildlife). Droughts can affect the quality, structure, and diversity of these systems. However, we find that most environmental systems show strong resistance and resilience to drought events, and the effects of drought are usually temporary. Structural effects of environmental droughts tend to only occur in areas that are perturbed or in communities near their distribution limits. There are few long-term experimental studies that quantify possible trends in drought effects on environmental systems. Nevertheless, existing studies of forests that are based on tree-ring chronologies or forest inventories indicate increased drought-related effects on environmental systems. Future climate change scenarios suggest increased drought severity worldwide, which could alter the vulnerability of different environmental systems and increase the number of structural drought effects.","author":[{"dropping-particle":"","family":"Vicente-Serrano","given":"Sergio M.","non-dropping-particle":"","parse-names":false,"suffix":""},{"dropping-particle":"","family":"Quiring","given":"Steven M.","non-dropping-particle":"","parse-names":false,"suffix":""},{"dropping-particle":"","family":"Peña-Gallardo","given":"Marina","non-dropping-particle":"","parse-names":false,"suffix":""},{"dropping-particle":"","family":"Yuan","given":"Shanshui","non-dropping-particle":"","parse-names":false,"suffix":""},{"dropping-particle":"","family":"Domínguez-Castro","given":"Fernando","non-dropping-particle":"","parse-names":false,"suffix":""}],"container-title":"Earth-Science Reviews","id":"ITEM-1","issue":"September 2019","issued":{"date-parts":[["2020"]]},"page":"102953","publisher":"Elsevier","title":"A review of environmental droughts: Increased risk under global warming?","type":"article-journal","volume":"201"},"uris":["http://www.mendeley.com/documents/?uuid=db3c4d17-f2d3-4607-8ffe-68a6dfcef4e3"]}],"mendeley":{"formattedCitation":"(Vicente-Serrano et al. 2020)","plainTextFormattedCitation":"(Vicente-Serrano et al. 2020)"},"properties":{"noteIndex":0},"schema":"https://github.com/citation-style-language/schema/raw/master/csl-citation.json"}</w:instrText>
      </w:r>
      <w:r w:rsidR="00887903">
        <w:rPr>
          <w:rFonts w:eastAsia="HGSMinchoE"/>
          <w:color w:val="538135" w:themeColor="accent6" w:themeShade="BF"/>
        </w:rPr>
        <w:fldChar w:fldCharType="separate"/>
      </w:r>
      <w:r w:rsidR="00887903" w:rsidRPr="00887903">
        <w:rPr>
          <w:rFonts w:eastAsia="HGSMinchoE"/>
          <w:noProof/>
          <w:color w:val="538135" w:themeColor="accent6" w:themeShade="BF"/>
        </w:rPr>
        <w:t>(Vicente-Serrano et al. 2020)</w:t>
      </w:r>
      <w:r w:rsidR="00887903">
        <w:rPr>
          <w:rFonts w:eastAsia="HGSMinchoE"/>
          <w:color w:val="538135" w:themeColor="accent6" w:themeShade="BF"/>
        </w:rPr>
        <w:fldChar w:fldCharType="end"/>
      </w:r>
      <w:r w:rsidR="00887903">
        <w:rPr>
          <w:rFonts w:eastAsia="HGSMinchoE"/>
          <w:color w:val="538135" w:themeColor="accent6" w:themeShade="BF"/>
        </w:rPr>
        <w:t xml:space="preserve">. </w:t>
      </w:r>
    </w:p>
    <w:p w14:paraId="2FFFC905" w14:textId="77777777" w:rsidR="00DD546B" w:rsidRPr="00DD546B" w:rsidRDefault="00DD546B" w:rsidP="00DD546B">
      <w:pPr>
        <w:pStyle w:val="NormalWeb"/>
        <w:spacing w:line="480" w:lineRule="auto"/>
        <w:rPr>
          <w:rFonts w:eastAsia="HGSMinchoE"/>
          <w:i/>
          <w:iCs/>
          <w:color w:val="538135" w:themeColor="accent6" w:themeShade="BF"/>
        </w:rPr>
      </w:pPr>
    </w:p>
    <w:p w14:paraId="4AE8F0E3" w14:textId="77777777" w:rsidR="00B43D94" w:rsidRDefault="00B43D94" w:rsidP="00B43D94">
      <w:pPr>
        <w:pStyle w:val="NormalWeb"/>
        <w:numPr>
          <w:ilvl w:val="0"/>
          <w:numId w:val="10"/>
        </w:numPr>
        <w:rPr>
          <w:color w:val="000000" w:themeColor="text1"/>
        </w:rPr>
      </w:pPr>
      <w:r>
        <w:rPr>
          <w:color w:val="000000" w:themeColor="text1"/>
        </w:rPr>
        <w:t xml:space="preserve">Testing for each of the population-maintenance forces: : </w:t>
      </w:r>
      <w:r w:rsidR="00DD56D6" w:rsidRPr="00B43D94">
        <w:rPr>
          <w:color w:val="000000" w:themeColor="text1"/>
        </w:rPr>
        <w:t>calculations that use IPM result</w:t>
      </w:r>
      <w:r>
        <w:rPr>
          <w:color w:val="000000" w:themeColor="text1"/>
        </w:rPr>
        <w:t>s</w:t>
      </w:r>
    </w:p>
    <w:p w14:paraId="7C0A544F" w14:textId="477D3C35" w:rsidR="00B43D94" w:rsidRDefault="00B43D94" w:rsidP="00B43D94">
      <w:pPr>
        <w:pStyle w:val="NormalWeb"/>
        <w:numPr>
          <w:ilvl w:val="1"/>
          <w:numId w:val="10"/>
        </w:numPr>
        <w:rPr>
          <w:color w:val="000000" w:themeColor="text1"/>
        </w:rPr>
      </w:pPr>
      <w:r w:rsidRPr="00B43D94">
        <w:rPr>
          <w:color w:val="000000" w:themeColor="text1"/>
        </w:rPr>
        <w:t>Negative density dependence</w:t>
      </w:r>
    </w:p>
    <w:p w14:paraId="2A7B8D21" w14:textId="65DCD25D" w:rsidR="00B43D94" w:rsidRPr="00B43D94" w:rsidRDefault="00B43D94" w:rsidP="00B43D94">
      <w:pPr>
        <w:pStyle w:val="NormalWeb"/>
        <w:numPr>
          <w:ilvl w:val="2"/>
          <w:numId w:val="10"/>
        </w:numPr>
        <w:rPr>
          <w:color w:val="000000" w:themeColor="text1"/>
        </w:rPr>
      </w:pPr>
      <w:r w:rsidRPr="00DD56D6">
        <w:rPr>
          <w:color w:val="000000" w:themeColor="text1"/>
        </w:rPr>
        <w:t xml:space="preserve">fit both density-dependent and density-independent models to the census data—for each plot, as well as the entire population. </w:t>
      </w:r>
    </w:p>
    <w:p w14:paraId="33514F10" w14:textId="0CBDEAB1" w:rsidR="00B43D94" w:rsidRDefault="00B43D94" w:rsidP="00B43D94">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Compare models of lambda w/ and w/out density terms</w:t>
      </w:r>
    </w:p>
    <w:p w14:paraId="443EE479" w14:textId="0001094C" w:rsidR="00B43D94" w:rsidRDefault="00B43D94" w:rsidP="00B43D94">
      <w:pPr>
        <w:pStyle w:val="NormalWeb"/>
        <w:numPr>
          <w:ilvl w:val="2"/>
          <w:numId w:val="10"/>
        </w:numPr>
        <w:rPr>
          <w:color w:val="000000" w:themeColor="text1"/>
        </w:rPr>
      </w:pPr>
      <w:r w:rsidRPr="00DD56D6">
        <w:rPr>
          <w:b/>
          <w:bCs/>
          <w:color w:val="000000" w:themeColor="text1"/>
        </w:rPr>
        <w:t xml:space="preserve">Model abundance at time </w:t>
      </w:r>
      <w:r w:rsidRPr="00DD56D6">
        <w:rPr>
          <w:b/>
          <w:bCs/>
          <w:i/>
          <w:iCs/>
          <w:color w:val="000000" w:themeColor="text1"/>
        </w:rPr>
        <w:t>t + 1</w:t>
      </w:r>
      <w:r w:rsidRPr="00DD56D6">
        <w:rPr>
          <w:b/>
          <w:bCs/>
          <w:color w:val="000000" w:themeColor="text1"/>
        </w:rPr>
        <w:t xml:space="preserve"> </w:t>
      </w:r>
      <w:r>
        <w:rPr>
          <w:b/>
          <w:bCs/>
          <w:color w:val="000000" w:themeColor="text1"/>
        </w:rPr>
        <w:t xml:space="preserve">(counts) </w:t>
      </w:r>
      <w:r w:rsidRPr="00DD56D6">
        <w:rPr>
          <w:b/>
          <w:bCs/>
          <w:color w:val="000000" w:themeColor="text1"/>
        </w:rPr>
        <w:t>as a negative binomial mixed model</w:t>
      </w:r>
      <w:r w:rsidRPr="00DD56D6">
        <w:rPr>
          <w:color w:val="000000" w:themeColor="text1"/>
        </w:rPr>
        <w:t xml:space="preserve"> (</w:t>
      </w:r>
      <w:proofErr w:type="spellStart"/>
      <w:r w:rsidRPr="00DD56D6">
        <w:rPr>
          <w:color w:val="000000" w:themeColor="text1"/>
        </w:rPr>
        <w:t>glmm</w:t>
      </w:r>
      <w:proofErr w:type="spellEnd"/>
      <w:r w:rsidRPr="00DD56D6">
        <w:rPr>
          <w:color w:val="000000" w:themeColor="text1"/>
        </w:rPr>
        <w:t>) with an offset for log(</w:t>
      </w:r>
      <w:proofErr w:type="spellStart"/>
      <w:r w:rsidRPr="00DD56D6">
        <w:rPr>
          <w:color w:val="000000" w:themeColor="text1"/>
        </w:rPr>
        <w:t>Nt</w:t>
      </w:r>
      <w:proofErr w:type="spellEnd"/>
      <w:r w:rsidRPr="00DD56D6">
        <w:rPr>
          <w:color w:val="000000" w:themeColor="text1"/>
        </w:rPr>
        <w:t xml:space="preserve">), following the general approach of Abbott et al. (2017) and Brown </w:t>
      </w:r>
      <w:r w:rsidRPr="00DD56D6">
        <w:rPr>
          <w:rFonts w:ascii="Calibri" w:hAnsi="Calibri" w:cs="Calibri"/>
          <w:color w:val="000000" w:themeColor="text1"/>
        </w:rPr>
        <w:t>﻿</w:t>
      </w:r>
      <w:r w:rsidRPr="00DD56D6">
        <w:rPr>
          <w:color w:val="000000" w:themeColor="text1"/>
        </w:rPr>
        <w:t xml:space="preserve">and Crone (2016). </w:t>
      </w:r>
      <w:r>
        <w:rPr>
          <w:color w:val="000000" w:themeColor="text1"/>
        </w:rPr>
        <w:t xml:space="preserve"> (for count data from FEWAFB)</w:t>
      </w:r>
    </w:p>
    <w:p w14:paraId="46ABF39E" w14:textId="77777777" w:rsidR="00B43D94" w:rsidRDefault="00B43D94" w:rsidP="00B43D94">
      <w:pPr>
        <w:pStyle w:val="NormalWeb"/>
        <w:numPr>
          <w:ilvl w:val="2"/>
          <w:numId w:val="10"/>
        </w:numPr>
        <w:rPr>
          <w:color w:val="000000" w:themeColor="text1"/>
        </w:rPr>
      </w:pPr>
      <w:r w:rsidRPr="00B43D94">
        <w:rPr>
          <w:b/>
          <w:bCs/>
          <w:color w:val="000000" w:themeColor="text1"/>
        </w:rPr>
        <w:t>Compare Ricker models</w:t>
      </w:r>
      <w:r w:rsidRPr="00B43D94">
        <w:rPr>
          <w:color w:val="000000" w:themeColor="text1"/>
        </w:rPr>
        <w:t xml:space="preserve">, which include a fixed effect of abundance at time </w:t>
      </w:r>
      <w:r w:rsidRPr="00B43D94">
        <w:rPr>
          <w:i/>
          <w:iCs/>
          <w:color w:val="000000" w:themeColor="text1"/>
        </w:rPr>
        <w:t xml:space="preserve">t </w:t>
      </w:r>
      <w:r w:rsidRPr="00B43D94">
        <w:rPr>
          <w:color w:val="000000" w:themeColor="text1"/>
        </w:rPr>
        <w:t xml:space="preserve">(Ricker 1954), to density-independent models. </w:t>
      </w:r>
    </w:p>
    <w:p w14:paraId="195CEBE9" w14:textId="77777777" w:rsidR="00D40CEB" w:rsidRDefault="00B43D94" w:rsidP="00D40CEB">
      <w:pPr>
        <w:pStyle w:val="NormalWeb"/>
        <w:numPr>
          <w:ilvl w:val="1"/>
          <w:numId w:val="10"/>
        </w:numPr>
        <w:rPr>
          <w:color w:val="000000" w:themeColor="text1"/>
        </w:rPr>
      </w:pPr>
      <w:r w:rsidRPr="00B43D94">
        <w:rPr>
          <w:color w:val="000000" w:themeColor="text1"/>
        </w:rPr>
        <w:t>Demographic compensation (different vital rates have opposing responses to environmental variation)</w:t>
      </w:r>
    </w:p>
    <w:p w14:paraId="76B7FC63" w14:textId="634641F3" w:rsidR="00B43D94" w:rsidRPr="00D40CEB" w:rsidRDefault="00B43D94" w:rsidP="00D40CEB">
      <w:pPr>
        <w:pStyle w:val="NormalWeb"/>
        <w:numPr>
          <w:ilvl w:val="2"/>
          <w:numId w:val="10"/>
        </w:numPr>
        <w:rPr>
          <w:color w:val="000000" w:themeColor="text1"/>
        </w:rPr>
      </w:pPr>
      <w:r w:rsidRPr="00D40CEB">
        <w:rPr>
          <w:color w:val="000000" w:themeColor="text1"/>
        </w:rPr>
        <w:t>Used correlations between the coefficients for year effects in each vital rate function (from the IPMs)(for vital rates that had significant temporal variation). Negative correlations indicate demographic compensation (</w:t>
      </w:r>
      <w:proofErr w:type="spellStart"/>
      <w:r w:rsidRPr="00D40CEB">
        <w:rPr>
          <w:color w:val="000000" w:themeColor="text1"/>
        </w:rPr>
        <w:t>Villellas</w:t>
      </w:r>
      <w:proofErr w:type="spellEnd"/>
      <w:r w:rsidRPr="00D40CEB">
        <w:rPr>
          <w:color w:val="000000" w:themeColor="text1"/>
        </w:rPr>
        <w:t xml:space="preserve"> et al. 2015)</w:t>
      </w:r>
    </w:p>
    <w:p w14:paraId="2FB4441E" w14:textId="77777777" w:rsidR="00D40CEB" w:rsidRDefault="00B43D94" w:rsidP="00D40CEB">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comparing coefficients for plot effects for vital rate functions that had significant spatial variation.</w:t>
      </w:r>
    </w:p>
    <w:p w14:paraId="25B9DA44" w14:textId="54AA98C9" w:rsidR="00B43D94" w:rsidRPr="00D40CEB" w:rsidRDefault="00B43D94" w:rsidP="00D40CEB">
      <w:pPr>
        <w:pStyle w:val="ListParagraph"/>
        <w:numPr>
          <w:ilvl w:val="2"/>
          <w:numId w:val="10"/>
        </w:numPr>
        <w:rPr>
          <w:rFonts w:ascii="Times New Roman" w:hAnsi="Times New Roman" w:cs="Times New Roman"/>
          <w:color w:val="000000" w:themeColor="text1"/>
        </w:rPr>
      </w:pPr>
      <w:r w:rsidRPr="00D40CEB">
        <w:rPr>
          <w:rFonts w:ascii="Times New Roman" w:hAnsi="Times New Roman" w:cs="Times New Roman"/>
          <w:color w:val="000000" w:themeColor="text1"/>
        </w:rPr>
        <w:t xml:space="preserve">Tested the importance of vital rate buffering and temporal demographic compensation (of each vital rate!) for pop. Growth using randomization procedures to simulate 500 stochastic growth trajectories over 100 </w:t>
      </w:r>
      <w:proofErr w:type="spellStart"/>
      <w:r w:rsidRPr="00D40CEB">
        <w:rPr>
          <w:rFonts w:ascii="Times New Roman" w:hAnsi="Times New Roman" w:cs="Times New Roman"/>
          <w:color w:val="000000" w:themeColor="text1"/>
        </w:rPr>
        <w:t>yrs</w:t>
      </w:r>
      <w:proofErr w:type="spellEnd"/>
      <w:r w:rsidRPr="00D40CEB">
        <w:rPr>
          <w:rFonts w:ascii="Times New Roman" w:hAnsi="Times New Roman" w:cs="Times New Roman"/>
          <w:color w:val="000000" w:themeColor="text1"/>
        </w:rPr>
        <w:t xml:space="preserve"> without one or both of these patterns. Compared these stochastic growth rate estimates (estimated for each transect) with point-estimates of long-term stochastic growth rates that include demographic compensation and vital rate buffering.</w:t>
      </w:r>
    </w:p>
    <w:p w14:paraId="65F72CE1" w14:textId="77777777" w:rsidR="00B43D94" w:rsidRDefault="00B43D94" w:rsidP="00D40CEB">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Vital rate buffering (variability of demographic rates is inversely related to th</w:t>
      </w:r>
      <w:r>
        <w:rPr>
          <w:rFonts w:ascii="Times New Roman" w:hAnsi="Times New Roman" w:cs="Times New Roman"/>
          <w:color w:val="000000" w:themeColor="text1"/>
        </w:rPr>
        <w:t>e</w:t>
      </w:r>
      <w:r w:rsidRPr="00EE3D1B">
        <w:rPr>
          <w:rFonts w:ascii="Times New Roman" w:hAnsi="Times New Roman" w:cs="Times New Roman"/>
          <w:color w:val="000000" w:themeColor="text1"/>
        </w:rPr>
        <w:t>ir importance for determining pop. Growth rate)</w:t>
      </w:r>
    </w:p>
    <w:p w14:paraId="5681AD32" w14:textId="77777777" w:rsidR="00B43D94" w:rsidRDefault="00B43D94" w:rsidP="00D40CEB">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Compare vital rate variability to their elasticity values (Pfister 1998;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2004)</w:t>
      </w:r>
    </w:p>
    <w:p w14:paraId="47DE41DD" w14:textId="77777777" w:rsidR="00B43D94" w:rsidRDefault="00B43D94" w:rsidP="00D40CEB">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Variability: coefficient of variation (CV) for the mean and variance of each vital rate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2004)</w:t>
      </w:r>
    </w:p>
    <w:p w14:paraId="349187F0" w14:textId="77777777" w:rsidR="00B43D94" w:rsidRPr="00EE3D1B" w:rsidRDefault="00B43D94" w:rsidP="00D40CEB">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Used the ‘standard perturbation approach’ to estimate elasticity values (Caswell 2001,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2002)</w:t>
      </w:r>
    </w:p>
    <w:p w14:paraId="4E18D50F" w14:textId="77777777" w:rsidR="00B43D94" w:rsidRPr="00287D27" w:rsidRDefault="00B43D94" w:rsidP="00D40CEB">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Asynchronous responses to environmental variation across subpopulations</w:t>
      </w:r>
    </w:p>
    <w:p w14:paraId="7A96CB70" w14:textId="77777777" w:rsidR="00D40CEB" w:rsidRDefault="00D40CEB" w:rsidP="00D40CEB">
      <w:pPr>
        <w:pStyle w:val="NormalWeb"/>
        <w:numPr>
          <w:ilvl w:val="2"/>
          <w:numId w:val="10"/>
        </w:numPr>
        <w:rPr>
          <w:color w:val="000000" w:themeColor="text1"/>
        </w:rPr>
      </w:pPr>
      <w:r w:rsidRPr="00EE3D1B">
        <w:rPr>
          <w:color w:val="000000" w:themeColor="text1"/>
        </w:rPr>
        <w:t>To identify if the magnitude of correlations between plots in log(</w:t>
      </w:r>
      <m:oMath>
        <m:r>
          <w:rPr>
            <w:rFonts w:ascii="Cambria Math" w:hAnsi="Cambria Math"/>
            <w:color w:val="000000" w:themeColor="text1"/>
          </w:rPr>
          <m:t>λ</m:t>
        </m:r>
      </m:oMath>
      <w:r w:rsidRPr="00EE3D1B">
        <w:rPr>
          <w:i/>
          <w:iCs/>
          <w:color w:val="000000" w:themeColor="text1"/>
          <w:vertAlign w:val="subscript"/>
        </w:rPr>
        <w:t>t</w:t>
      </w:r>
      <w:r w:rsidRPr="00EE3D1B">
        <w:rPr>
          <w:color w:val="000000" w:themeColor="text1"/>
        </w:rPr>
        <w:t xml:space="preserve">) or log(N) was related to their spatial distance from one another, we used </w:t>
      </w:r>
      <w:r w:rsidRPr="00EE3D1B">
        <w:rPr>
          <w:b/>
          <w:bCs/>
          <w:color w:val="000000" w:themeColor="text1"/>
        </w:rPr>
        <w:t>Mantel tests</w:t>
      </w:r>
      <w:r w:rsidRPr="00EE3D1B">
        <w:rPr>
          <w:color w:val="000000" w:themeColor="text1"/>
        </w:rPr>
        <w:t xml:space="preserve">. </w:t>
      </w:r>
    </w:p>
    <w:p w14:paraId="06079096" w14:textId="77777777" w:rsidR="00D40CEB" w:rsidRDefault="00D40CEB" w:rsidP="00D40CEB">
      <w:pPr>
        <w:pStyle w:val="NormalWeb"/>
        <w:numPr>
          <w:ilvl w:val="2"/>
          <w:numId w:val="10"/>
        </w:numPr>
        <w:rPr>
          <w:color w:val="000000" w:themeColor="text1"/>
        </w:rPr>
      </w:pPr>
      <w:r w:rsidRPr="00D40CEB">
        <w:rPr>
          <w:color w:val="000000" w:themeColor="text1"/>
        </w:rPr>
        <w:t xml:space="preserve"> </w:t>
      </w:r>
      <w:r w:rsidRPr="00D40CEB">
        <w:rPr>
          <w:b/>
          <w:bCs/>
          <w:color w:val="000000" w:themeColor="text1"/>
        </w:rPr>
        <w:t>population-level synchrony index</w:t>
      </w:r>
      <w:r w:rsidRPr="00D40CEB">
        <w:rPr>
          <w:color w:val="000000" w:themeColor="text1"/>
        </w:rPr>
        <w:t xml:space="preserve"> (</w:t>
      </w:r>
      <w:proofErr w:type="spellStart"/>
      <w:r w:rsidRPr="00D40CEB">
        <w:rPr>
          <w:color w:val="000000" w:themeColor="text1"/>
        </w:rPr>
        <w:t>Loreau</w:t>
      </w:r>
      <w:proofErr w:type="spellEnd"/>
      <w:r w:rsidRPr="00D40CEB">
        <w:rPr>
          <w:color w:val="000000" w:themeColor="text1"/>
        </w:rPr>
        <w:t xml:space="preserve"> and de </w:t>
      </w:r>
      <w:proofErr w:type="spellStart"/>
      <w:r w:rsidRPr="00D40CEB">
        <w:rPr>
          <w:color w:val="000000" w:themeColor="text1"/>
        </w:rPr>
        <w:t>Mazancourt</w:t>
      </w:r>
      <w:proofErr w:type="spellEnd"/>
      <w:r w:rsidRPr="00D40CEB">
        <w:rPr>
          <w:color w:val="000000" w:themeColor="text1"/>
        </w:rPr>
        <w:t xml:space="preserve"> 2008, Thibaut and Connolly 2013</w:t>
      </w:r>
      <w:r>
        <w:rPr>
          <w:color w:val="000000" w:themeColor="text1"/>
        </w:rPr>
        <w:t>)</w:t>
      </w:r>
    </w:p>
    <w:p w14:paraId="6B427892" w14:textId="77777777" w:rsidR="00D40CEB" w:rsidRDefault="00D40CEB" w:rsidP="00D40CEB">
      <w:pPr>
        <w:pStyle w:val="NormalWeb"/>
        <w:numPr>
          <w:ilvl w:val="2"/>
          <w:numId w:val="10"/>
        </w:numPr>
        <w:rPr>
          <w:color w:val="000000" w:themeColor="text1"/>
        </w:rPr>
      </w:pPr>
      <w:r w:rsidRPr="00D40CEB">
        <w:rPr>
          <w:color w:val="000000" w:themeColor="text1"/>
        </w:rPr>
        <w:t xml:space="preserve"> </w:t>
      </w:r>
      <w:r w:rsidRPr="00D40CEB">
        <w:rPr>
          <w:b/>
          <w:bCs/>
          <w:color w:val="000000" w:themeColor="text1"/>
        </w:rPr>
        <w:t>mean-variance portfolio effect</w:t>
      </w:r>
      <w:r w:rsidRPr="00D40CEB">
        <w:rPr>
          <w:color w:val="000000" w:themeColor="text1"/>
        </w:rPr>
        <w:t xml:space="preserve"> (PE; Anderson et al. 2013). </w:t>
      </w:r>
    </w:p>
    <w:p w14:paraId="70186E13" w14:textId="04329FBC" w:rsidR="00D40CEB" w:rsidRDefault="00D40CEB" w:rsidP="00D40CEB">
      <w:pPr>
        <w:pStyle w:val="NormalWeb"/>
        <w:numPr>
          <w:ilvl w:val="2"/>
          <w:numId w:val="10"/>
        </w:numPr>
        <w:rPr>
          <w:color w:val="000000" w:themeColor="text1"/>
        </w:rPr>
      </w:pPr>
      <w:r w:rsidRPr="00D40CEB">
        <w:rPr>
          <w:color w:val="000000" w:themeColor="text1"/>
        </w:rPr>
        <w:t xml:space="preserve">We </w:t>
      </w:r>
      <w:r w:rsidRPr="00D40CEB">
        <w:rPr>
          <w:b/>
          <w:bCs/>
          <w:color w:val="000000" w:themeColor="text1"/>
        </w:rPr>
        <w:t>tested whether each of these climate variables explained variation in log(</w:t>
      </w:r>
      <m:oMath>
        <m:r>
          <m:rPr>
            <m:sty m:val="bi"/>
          </m:rPr>
          <w:rPr>
            <w:rFonts w:ascii="Cambria Math" w:hAnsi="Cambria Math"/>
            <w:color w:val="000000" w:themeColor="text1"/>
          </w:rPr>
          <m:t>λ</m:t>
        </m:r>
      </m:oMath>
      <w:r w:rsidRPr="00D40CEB">
        <w:rPr>
          <w:b/>
          <w:bCs/>
          <w:i/>
          <w:iCs/>
          <w:color w:val="000000" w:themeColor="text1"/>
          <w:vertAlign w:val="subscript"/>
        </w:rPr>
        <w:t>t</w:t>
      </w:r>
      <w:r w:rsidRPr="00D40CEB">
        <w:rPr>
          <w:b/>
          <w:bCs/>
          <w:color w:val="000000" w:themeColor="text1"/>
        </w:rPr>
        <w:t xml:space="preserve">) among years by comparing negative binomial </w:t>
      </w:r>
      <w:proofErr w:type="spellStart"/>
      <w:r w:rsidRPr="00D40CEB">
        <w:rPr>
          <w:b/>
          <w:bCs/>
          <w:color w:val="000000" w:themeColor="text1"/>
        </w:rPr>
        <w:t>glmm</w:t>
      </w:r>
      <w:proofErr w:type="spellEnd"/>
      <w:r w:rsidRPr="00D40CEB">
        <w:rPr>
          <w:b/>
          <w:bCs/>
          <w:color w:val="000000" w:themeColor="text1"/>
        </w:rPr>
        <w:t xml:space="preserve"> Ricker models of population growth, as described above, that included one of the four climate variables with </w:t>
      </w:r>
      <w:proofErr w:type="spellStart"/>
      <w:r w:rsidRPr="00D40CEB">
        <w:rPr>
          <w:b/>
          <w:bCs/>
          <w:color w:val="000000" w:themeColor="text1"/>
        </w:rPr>
        <w:t>AICc</w:t>
      </w:r>
      <w:proofErr w:type="spellEnd"/>
      <w:r w:rsidRPr="00D40CEB">
        <w:rPr>
          <w:color w:val="000000" w:themeColor="text1"/>
        </w:rPr>
        <w:t xml:space="preserve">. In particular, we compared Ricker models with random variation in intercepts and slopes among plots, but that substituted fixed effects of climate in each year for randomly varying intercepts in each year. For each climate variable, we fit models that considered linear and quadratic effects of climate and their interactions with plot position along the north-south axis, capturing interactions between climate and the main spatial variation in habitat. </w:t>
      </w:r>
    </w:p>
    <w:p w14:paraId="2526B4AF" w14:textId="5611FB0C" w:rsidR="00541885" w:rsidRPr="00D40CEB" w:rsidRDefault="00541885" w:rsidP="00D40CEB">
      <w:pPr>
        <w:pStyle w:val="NormalWeb"/>
        <w:numPr>
          <w:ilvl w:val="2"/>
          <w:numId w:val="10"/>
        </w:numPr>
        <w:rPr>
          <w:color w:val="000000" w:themeColor="text1"/>
        </w:rPr>
      </w:pPr>
      <w:r>
        <w:rPr>
          <w:color w:val="000000" w:themeColor="text1"/>
        </w:rPr>
        <w:t xml:space="preserve">PVA-based simulation </w:t>
      </w:r>
    </w:p>
    <w:p w14:paraId="3E6F018A" w14:textId="77777777" w:rsidR="00B43D94" w:rsidRDefault="00B43D94" w:rsidP="00D91E20">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Fine-scale source-sink dynamics</w:t>
      </w:r>
    </w:p>
    <w:p w14:paraId="439ADCE1" w14:textId="77777777" w:rsidR="00B43D94" w:rsidRDefault="00B43D94" w:rsidP="00D91E20">
      <w:pPr>
        <w:pStyle w:val="ListParagraph"/>
        <w:numPr>
          <w:ilvl w:val="2"/>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Can’t directly measure (no seed movement data), but </w:t>
      </w:r>
      <w:r>
        <w:rPr>
          <w:rFonts w:ascii="Times New Roman" w:hAnsi="Times New Roman" w:cs="Times New Roman"/>
          <w:color w:val="000000" w:themeColor="text1"/>
        </w:rPr>
        <w:t xml:space="preserve">plot-level </w:t>
      </w:r>
      <w:r w:rsidRPr="00EE3D1B">
        <w:rPr>
          <w:rFonts w:ascii="Times New Roman" w:hAnsi="Times New Roman" w:cs="Times New Roman"/>
          <w:color w:val="000000" w:themeColor="text1"/>
        </w:rPr>
        <w:t>population growth rates indicate whether or not there are consistent spatial differences in average population performance, a necessary pre-condition for source–sink dynamics.</w:t>
      </w:r>
    </w:p>
    <w:p w14:paraId="1AB28742" w14:textId="77777777" w:rsidR="00DD56D6" w:rsidRDefault="00DD56D6" w:rsidP="00DD56D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Simulations</w:t>
      </w:r>
    </w:p>
    <w:p w14:paraId="4DFBA2D4" w14:textId="77777777" w:rsidR="00DD56D6" w:rsidRDefault="00DD56D6" w:rsidP="00DD56D6">
      <w:pPr>
        <w:pStyle w:val="ListParagraph"/>
        <w:numPr>
          <w:ilvl w:val="1"/>
          <w:numId w:val="9"/>
        </w:numPr>
        <w:rPr>
          <w:rFonts w:ascii="Times New Roman" w:hAnsi="Times New Roman" w:cs="Times New Roman"/>
          <w:color w:val="000000" w:themeColor="text1"/>
        </w:rPr>
      </w:pPr>
      <w:r w:rsidRPr="00ED51C1">
        <w:rPr>
          <w:rFonts w:ascii="Times New Roman" w:hAnsi="Times New Roman" w:cs="Times New Roman"/>
          <w:b/>
          <w:bCs/>
          <w:color w:val="000000" w:themeColor="text1"/>
        </w:rPr>
        <w:t>Multi-site, count-based PVA</w:t>
      </w:r>
      <w:r>
        <w:rPr>
          <w:rFonts w:ascii="Times New Roman" w:hAnsi="Times New Roman" w:cs="Times New Roman"/>
          <w:color w:val="000000" w:themeColor="text1"/>
        </w:rPr>
        <w:t xml:space="preserve"> for entire site based on long-term census data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2002)</w:t>
      </w:r>
    </w:p>
    <w:p w14:paraId="49A26D2A" w14:textId="77777777" w:rsidR="00DD56D6" w:rsidRDefault="00DD56D6" w:rsidP="00DD56D6">
      <w:pPr>
        <w:pStyle w:val="ListParagraph"/>
        <w:numPr>
          <w:ilvl w:val="2"/>
          <w:numId w:val="9"/>
        </w:numPr>
        <w:rPr>
          <w:rFonts w:ascii="Times New Roman" w:hAnsi="Times New Roman" w:cs="Times New Roman"/>
          <w:color w:val="000000" w:themeColor="text1"/>
        </w:rPr>
      </w:pPr>
      <w:r w:rsidRPr="00ED51C1">
        <w:rPr>
          <w:rFonts w:ascii="Times New Roman" w:hAnsi="Times New Roman" w:cs="Times New Roman"/>
          <w:b/>
          <w:bCs/>
          <w:color w:val="000000" w:themeColor="text1"/>
        </w:rPr>
        <w:t>Simulated population growth in each time step by estimating an expected log(</w:t>
      </w:r>
      <m:oMath>
        <m:r>
          <m:rPr>
            <m:sty m:val="bi"/>
          </m:rPr>
          <w:rPr>
            <w:rFonts w:ascii="Cambria Math" w:hAnsi="Cambria Math" w:cs="Times New Roman"/>
            <w:color w:val="000000" w:themeColor="text1"/>
          </w:rPr>
          <m:t>λ</m:t>
        </m:r>
      </m:oMath>
      <w:r w:rsidRPr="00ED51C1">
        <w:rPr>
          <w:rFonts w:ascii="Times New Roman" w:hAnsi="Times New Roman" w:cs="Times New Roman"/>
          <w:b/>
          <w:bCs/>
          <w:i/>
          <w:iCs/>
          <w:color w:val="000000" w:themeColor="text1"/>
          <w:vertAlign w:val="subscript"/>
        </w:rPr>
        <w:t>t</w:t>
      </w:r>
      <w:r w:rsidRPr="00ED51C1">
        <w:rPr>
          <w:rFonts w:ascii="Times New Roman" w:hAnsi="Times New Roman" w:cs="Times New Roman"/>
          <w:b/>
          <w:bCs/>
          <w:color w:val="000000" w:themeColor="text1"/>
        </w:rPr>
        <w:t xml:space="preserve">) for each plot based on </w:t>
      </w:r>
      <w:proofErr w:type="spellStart"/>
      <w:r w:rsidRPr="00ED51C1">
        <w:rPr>
          <w:rFonts w:ascii="Times New Roman" w:hAnsi="Times New Roman" w:cs="Times New Roman"/>
          <w:b/>
          <w:bCs/>
          <w:color w:val="000000" w:themeColor="text1"/>
        </w:rPr>
        <w:t>it’s</w:t>
      </w:r>
      <w:proofErr w:type="spellEnd"/>
      <w:r w:rsidRPr="00ED51C1">
        <w:rPr>
          <w:rFonts w:ascii="Times New Roman" w:hAnsi="Times New Roman" w:cs="Times New Roman"/>
          <w:b/>
          <w:bCs/>
          <w:color w:val="000000" w:themeColor="text1"/>
        </w:rPr>
        <w:t xml:space="preserve"> abundance of plants, climate variable, and the plot-specific coefficients from the best-supported Ricker model</w:t>
      </w:r>
      <w:r>
        <w:rPr>
          <w:rFonts w:ascii="Times New Roman" w:hAnsi="Times New Roman" w:cs="Times New Roman"/>
          <w:color w:val="000000" w:themeColor="text1"/>
        </w:rPr>
        <w:t xml:space="preserve">. Then added to this </w:t>
      </w:r>
      <w:r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Pr="00EE3D1B">
        <w:rPr>
          <w:rFonts w:ascii="Times New Roman" w:hAnsi="Times New Roman" w:cs="Times New Roman"/>
          <w:i/>
          <w:iCs/>
          <w:color w:val="000000" w:themeColor="text1"/>
          <w:vertAlign w:val="subscript"/>
        </w:rPr>
        <w:t>t</w:t>
      </w:r>
      <w:r w:rsidRPr="00EE3D1B">
        <w:rPr>
          <w:rFonts w:ascii="Times New Roman" w:hAnsi="Times New Roman" w:cs="Times New Roman"/>
          <w:color w:val="000000" w:themeColor="text1"/>
        </w:rPr>
        <w:t>)</w:t>
      </w:r>
      <w:r>
        <w:rPr>
          <w:rFonts w:ascii="Times New Roman" w:hAnsi="Times New Roman" w:cs="Times New Roman"/>
          <w:color w:val="000000" w:themeColor="text1"/>
        </w:rPr>
        <w:t xml:space="preserve"> a plot-specific correlated random value estimated from the covariance matrix of the model residuals among plots (following Abbot et al. 2017)—allows for stochasticity</w:t>
      </w:r>
    </w:p>
    <w:p w14:paraId="7742CF67"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Tested the accuracy of these models by starting them at the beginning of the census data, and then comparing modeled to actual data (compare correlation)</w:t>
      </w:r>
    </w:p>
    <w:p w14:paraId="591B98E1" w14:textId="77777777" w:rsidR="00DD56D6" w:rsidRPr="00EE3D1B"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Then project into the future by using the last year of census data as the starting point and </w:t>
      </w:r>
      <w:r w:rsidRPr="00ED51C1">
        <w:rPr>
          <w:rFonts w:ascii="Calibri" w:hAnsi="Calibri" w:cs="Calibri"/>
          <w:color w:val="000000" w:themeColor="text1"/>
        </w:rPr>
        <w:t>﻿</w:t>
      </w:r>
      <w:r w:rsidRPr="00ED51C1">
        <w:rPr>
          <w:rFonts w:ascii="Times New Roman" w:hAnsi="Times New Roman" w:cs="Times New Roman"/>
          <w:color w:val="000000" w:themeColor="text1"/>
        </w:rPr>
        <w:t>randomly</w:t>
      </w:r>
      <w:r>
        <w:rPr>
          <w:rFonts w:ascii="Times New Roman" w:hAnsi="Times New Roman" w:cs="Times New Roman"/>
          <w:color w:val="000000" w:themeColor="text1"/>
        </w:rPr>
        <w:t xml:space="preserve"> </w:t>
      </w:r>
      <w:r w:rsidRPr="00ED51C1">
        <w:rPr>
          <w:rFonts w:ascii="Times New Roman" w:hAnsi="Times New Roman" w:cs="Times New Roman"/>
          <w:color w:val="000000" w:themeColor="text1"/>
        </w:rPr>
        <w:t>drawing annual precipitation values from a normal dis</w:t>
      </w:r>
      <w:r>
        <w:rPr>
          <w:rFonts w:ascii="Times New Roman" w:hAnsi="Times New Roman" w:cs="Times New Roman"/>
          <w:color w:val="000000" w:themeColor="text1"/>
        </w:rPr>
        <w:t xml:space="preserve">tribution with mean and variance taken from the 99 complete observations of annual </w:t>
      </w:r>
      <w:proofErr w:type="spellStart"/>
      <w:r>
        <w:rPr>
          <w:rFonts w:ascii="Times New Roman" w:hAnsi="Times New Roman" w:cs="Times New Roman"/>
          <w:color w:val="000000" w:themeColor="text1"/>
        </w:rPr>
        <w:t>precip</w:t>
      </w:r>
      <w:proofErr w:type="spellEnd"/>
      <w:r>
        <w:rPr>
          <w:rFonts w:ascii="Times New Roman" w:hAnsi="Times New Roman" w:cs="Times New Roman"/>
          <w:color w:val="000000" w:themeColor="text1"/>
        </w:rPr>
        <w:t xml:space="preserve">. From the Riverton NOAA station. </w:t>
      </w:r>
    </w:p>
    <w:p w14:paraId="12C4D053"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Did these simulations 10,000 times over 100-year time window</w:t>
      </w:r>
    </w:p>
    <w:p w14:paraId="2378B8CD" w14:textId="77777777" w:rsidR="00DD56D6" w:rsidRDefault="00DD56D6" w:rsidP="00DD56D6">
      <w:pPr>
        <w:pStyle w:val="ListParagraph"/>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Ran </w:t>
      </w:r>
      <w:r w:rsidRPr="00ED51C1">
        <w:rPr>
          <w:rFonts w:ascii="Times New Roman" w:hAnsi="Times New Roman" w:cs="Times New Roman"/>
          <w:b/>
          <w:bCs/>
          <w:color w:val="000000" w:themeColor="text1"/>
        </w:rPr>
        <w:t>three additional simulations</w:t>
      </w:r>
      <w:r>
        <w:rPr>
          <w:rFonts w:ascii="Times New Roman" w:hAnsi="Times New Roman" w:cs="Times New Roman"/>
          <w:color w:val="000000" w:themeColor="text1"/>
        </w:rPr>
        <w:t xml:space="preserve"> to estimate the impact of density dependence and spatial asynchrony</w:t>
      </w:r>
    </w:p>
    <w:p w14:paraId="6956503C"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Ran simulations based on an alternative model that removed effects of spatial asynchrony in climate responses</w:t>
      </w:r>
    </w:p>
    <w:p w14:paraId="2F50FDBE"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Ran simulations based on models that removed the stabilizing effects of density dependence while still imposing a density cap on numbers </w:t>
      </w:r>
    </w:p>
    <w:p w14:paraId="53A3B864" w14:textId="726DFD6B" w:rsidR="00AA70C5" w:rsidRPr="00E94DC3" w:rsidRDefault="00DD56D6" w:rsidP="00E94DC3">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Ran simulations based on models that excluded both of these effects</w:t>
      </w:r>
    </w:p>
    <w:p w14:paraId="2F54AA39" w14:textId="145E7960" w:rsidR="00B21A84" w:rsidRPr="00F3278E" w:rsidRDefault="00335B33" w:rsidP="00E94DC3">
      <w:pPr>
        <w:spacing w:line="480" w:lineRule="auto"/>
        <w:rPr>
          <w:rFonts w:ascii="Times New Roman" w:hAnsi="Times New Roman" w:cs="Times New Roman"/>
        </w:rPr>
      </w:pPr>
      <w:r>
        <w:rPr>
          <w:rFonts w:ascii="Times New Roman" w:hAnsi="Times New Roman" w:cs="Times New Roman"/>
        </w:rPr>
        <w:tab/>
      </w:r>
    </w:p>
    <w:p w14:paraId="00D21832" w14:textId="505E276E"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Results</w:t>
      </w:r>
    </w:p>
    <w:p w14:paraId="471B91A9" w14:textId="1233C237"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Discussion</w:t>
      </w:r>
    </w:p>
    <w:p w14:paraId="05FF0D6B" w14:textId="725FF34D" w:rsidR="00584E98" w:rsidRDefault="001D18A5" w:rsidP="00143F37">
      <w:pPr>
        <w:spacing w:before="120" w:after="100" w:afterAutospacing="1"/>
        <w:rPr>
          <w:rFonts w:ascii="Times New Roman" w:hAnsi="Times New Roman" w:cs="Times New Roman"/>
          <w:b/>
          <w:bCs/>
        </w:rPr>
      </w:pPr>
      <w:r w:rsidRPr="00F3278E">
        <w:rPr>
          <w:rFonts w:ascii="Times New Roman" w:hAnsi="Times New Roman" w:cs="Times New Roman"/>
          <w:b/>
          <w:bCs/>
        </w:rPr>
        <w:t>References</w:t>
      </w:r>
    </w:p>
    <w:p w14:paraId="0C4922A6" w14:textId="7D73092D" w:rsidR="00887903" w:rsidRPr="00887903" w:rsidRDefault="00F02825" w:rsidP="00887903">
      <w:pPr>
        <w:widowControl w:val="0"/>
        <w:autoSpaceDE w:val="0"/>
        <w:autoSpaceDN w:val="0"/>
        <w:adjustRightInd w:val="0"/>
        <w:spacing w:before="120" w:after="100"/>
        <w:ind w:left="480" w:hanging="480"/>
        <w:rPr>
          <w:rFonts w:ascii="Times New Roman" w:hAnsi="Times New Roman" w:cs="Times New Roman"/>
          <w:noProof/>
        </w:rPr>
      </w:pPr>
      <w:r>
        <w:rPr>
          <w:rFonts w:ascii="Times New Roman" w:hAnsi="Times New Roman" w:cs="Times New Roman"/>
          <w:b/>
          <w:bCs/>
          <w:color w:val="000000" w:themeColor="text1"/>
        </w:rPr>
        <w:fldChar w:fldCharType="begin" w:fldLock="1"/>
      </w:r>
      <w:r>
        <w:rPr>
          <w:rFonts w:ascii="Times New Roman" w:hAnsi="Times New Roman" w:cs="Times New Roman"/>
          <w:b/>
          <w:bCs/>
          <w:color w:val="000000" w:themeColor="text1"/>
        </w:rPr>
        <w:instrText xml:space="preserve">ADDIN Mendeley Bibliography CSL_BIBLIOGRAPHY </w:instrText>
      </w:r>
      <w:r>
        <w:rPr>
          <w:rFonts w:ascii="Times New Roman" w:hAnsi="Times New Roman" w:cs="Times New Roman"/>
          <w:b/>
          <w:bCs/>
          <w:color w:val="000000" w:themeColor="text1"/>
        </w:rPr>
        <w:fldChar w:fldCharType="separate"/>
      </w:r>
      <w:r w:rsidR="00887903" w:rsidRPr="00887903">
        <w:rPr>
          <w:rFonts w:ascii="Times New Roman" w:hAnsi="Times New Roman" w:cs="Times New Roman"/>
          <w:noProof/>
        </w:rPr>
        <w:t>Brabyn, L., P. Zawar-reza, G. Stichbury, C. Cary, B. Storey, D. C. Laughlin, and M. Katurji. 2014. Accuracy assessment of land surface temperature retrievals from Landsat 7 ETM + in the Dry Valleys of Antarctica using iButton temperature loggers and weather station data:2619–2628.</w:t>
      </w:r>
    </w:p>
    <w:p w14:paraId="6CC3042E"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Burgess, L. M. 2003. Impacts of Mowing, Burning, and Climate on Germination and Seedling Recruitment of Colorado Butterfly Plant (Gaura neomexicana ssp. coloradensis). University of Wyoming.</w:t>
      </w:r>
    </w:p>
    <w:p w14:paraId="10845CAA"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Burgess, L. M., A. L. Hild, and N. L. Shaw. 2005. Capsule treatments to enhance seedling emergence of Gaura neomexicana ssp. coloradensis. Restoration Ecology 13:8–14.</w:t>
      </w:r>
    </w:p>
    <w:p w14:paraId="40E3944A"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Caswell, H. 2001. Matrix Population Models: Construction, Analysis, and Interpretation. 2nd edition. Sinauer Associates.</w:t>
      </w:r>
    </w:p>
    <w:p w14:paraId="75BCAD0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Dibner, R. R., M. L. Peterson, A. M. Louthan, and D. F. Doak. 2019. Multiple mechanisms confer stability to isolated populations of a rare endemic plant. Ecological Monographs 89:1–16.</w:t>
      </w:r>
    </w:p>
    <w:p w14:paraId="6245DC33"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Easterling, M. R., S. P. Ellner, and P. M. Dixon. 2000. Size-Specific Sensitivity: Applying a New Structured Population Model. Ecology 81:694–708.</w:t>
      </w:r>
    </w:p>
    <w:p w14:paraId="2D1D6C77"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Ellner, S. P., D. Z. Childs, and M. Rees. 2016. Data-driven Modelling of Structured Populations. Springer International Publishing, Switzerland.</w:t>
      </w:r>
    </w:p>
    <w:p w14:paraId="5CD6E633"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Ellner, S. P., and M. Rees. 2006. Integral projection models for species with complex demography. American Naturalist 167:410–428.</w:t>
      </w:r>
    </w:p>
    <w:p w14:paraId="3B4A0B9E"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Everson, M. E. 2019. Endangered and Threatened Wildlife and Plants; Removing Oenothera coloradensis (Colorado Butterfly Plant) From the Federal List of Endangered and Threatened Plants. Federal Register: The Daily Journal of the United States 84:59570–59588.</w:t>
      </w:r>
    </w:p>
    <w:p w14:paraId="22AC851E"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Fieberg, J. R., K. Vitense, and D. H. Johnson. 2020. Resampling-based methods for biologists. PeerJ 2020.</w:t>
      </w:r>
    </w:p>
    <w:p w14:paraId="4F7B85C5"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Floyd, S. K., and T. A. Ranker. 1998. Analysis of a Transition Matrix Model for Gaura neomexicana Ssp . coloradensis (Onagraceae) Reveals Spatial and Temporal Demographic Variability. International Journal of Plant Sciences 159:853–863.</w:t>
      </w:r>
    </w:p>
    <w:p w14:paraId="50C7C768"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Heidel, B., D. Tuthill, and Z. Wallace. 2021. 33-Year Population Trends of Colorado Butterfly Plant (Oenothera Coloradensis; Onagraceae), a Short-Lived Riparian Species on F. E. Warren Air Force Base, Laramie County, Wyoming. Laramie, WY.</w:t>
      </w:r>
    </w:p>
    <w:p w14:paraId="1B39CFC1"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Jennings, M. 2000. Endangered and Threatened Wildlife and Plants: Threatened Status for the Colorado Butterfly Plant (Gaura neomexicana ssp. coloradensis) From Southeastern Wyoming, Northcentral Colorado, and Extreme Western Nebraska. Federal Register: The Daily Journal of the United States 65:62302–62310.</w:t>
      </w:r>
    </w:p>
    <w:p w14:paraId="13E3D2F7"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Kurth, J. W. 2018. Endangered and Threatened Wildlife and Plants; Removing Oenothera coloradensis (Colorado Butterfly Plant) From the Federal List of Endangered and Threatened Plants. Federal Register: The Daily Journal of the United States 83:26623–26640.</w:t>
      </w:r>
    </w:p>
    <w:p w14:paraId="26211BE2"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Levin, S. C., D. Z. Childs, A. Compagnoni, S. Evers, T. M. Knight, and R. Salguero-Gómez. 2021. ipmr: Flexible implementation of Integral Projection Models in R. Methods in Ecology and Evolution 12:1826–1834.</w:t>
      </w:r>
    </w:p>
    <w:p w14:paraId="5F3771E2"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Merow, C., J. P. Dahlgren, C. J. E. Metcalf, D. Z. Childs, M. E. K. Evans, E. Jongejans, S. Record, M. Rees, R. Salguero-Gómez, and S. M. Mcmahon. 2014. Advancing population ecology with integral projection models: A practical guide. Methods in Ecology and Evolution 5:99–110.</w:t>
      </w:r>
    </w:p>
    <w:p w14:paraId="6D18E19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Morris, W. F., and D. F. Doak. 2002. Quantitative Conservation Biology: Theory and Practice of Population Viability Analysis. Sinauer Associates, Sunderland, MA.</w:t>
      </w:r>
    </w:p>
    <w:p w14:paraId="6E9231D1"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Morris, W. F., and D. F. Doak. 2004. Buffering of Life Histories against Environmental Stochasticity: Accounting for a Spurious Correlation between the Variabilities of Vital Rates and Their Contributions to Fitness. American Naturalist 163:579–590.</w:t>
      </w:r>
    </w:p>
    <w:p w14:paraId="798E1D54"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Munk, L. M. 1999. Colorado butterfly plant (Gaura neomexicana spp. coloradensis) regeneration with removal of Canada thistle (Cirsium arvense) or native herbs. University of Wyoming.</w:t>
      </w:r>
    </w:p>
    <w:p w14:paraId="5C0809D6"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Munk, L. M., A. L. Hild, and T. D. Whitson. 2002. Rosette recruitment of a rare endemic forb (Gaura neomexicana subsp. coloradensis) with canopy removal of associated species. Restoration Ecology 10:122–128.</w:t>
      </w:r>
    </w:p>
    <w:p w14:paraId="3B6E4D5B"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Paniw, M., P. F. Quintana-Ascencio, F. Ojeda, and R. Salguero-Gómez. 2017. Accounting for uncertainty in dormant life stages in stochastic demographic models. Oikos 126:900–909.</w:t>
      </w:r>
    </w:p>
    <w:p w14:paraId="119A6425"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Pfister, C. A. 1998. Patterns of variance in stage-structured populations : Evolutionary predictions and ecological implications. Proceedings of the National Academy of Sciences 95:213–218.</w:t>
      </w:r>
    </w:p>
    <w:p w14:paraId="6B0088E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Rees, M., D. Z. Childs, C. J. E. Metcalf, K. E. Rose, A. W. Sheppard, and P. J. Grubb. 2006. Seed dormancy and delayed flowering in monocarpic plants: selective interactions in a stochastic environment. The American Naturalist 168:E53–E71.</w:t>
      </w:r>
    </w:p>
    <w:p w14:paraId="0E8FE460"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Rondeau, R., K. Decker, J. Handwerk, J. Siemers, L. Grunau, and C. Pague. 2011. The state of Colorado’s biodiversity. Fort Collins, CO.</w:t>
      </w:r>
    </w:p>
    <w:p w14:paraId="4138F909"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Venables, W. N., and B. D. Ripley. 2002. Modern Applied Statistics with S. Fourth. Springer, New York.</w:t>
      </w:r>
    </w:p>
    <w:p w14:paraId="41B6B705"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Vicente-Serrano, S. M., S. M. Quiring, M. Peña-Gallardo, S. Yuan, and F. Domínguez-Castro. 2020. A review of environmental droughts: Increased risk under global warming? Earth-Science Reviews 201:102953.</w:t>
      </w:r>
    </w:p>
    <w:p w14:paraId="1998121C"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Villellas, J., D. F. Doak, M. B. García, and W. F. Morris. 2015. Demographic compensation among populations: What is it, how does it arise and what are its implications? Ecology Letters 18:1139–1152.</w:t>
      </w:r>
    </w:p>
    <w:p w14:paraId="79FB8719" w14:textId="77777777" w:rsidR="00887903" w:rsidRPr="00887903" w:rsidRDefault="00887903" w:rsidP="00887903">
      <w:pPr>
        <w:widowControl w:val="0"/>
        <w:autoSpaceDE w:val="0"/>
        <w:autoSpaceDN w:val="0"/>
        <w:adjustRightInd w:val="0"/>
        <w:spacing w:before="120" w:after="100"/>
        <w:ind w:left="480" w:hanging="480"/>
        <w:rPr>
          <w:rFonts w:ascii="Times New Roman" w:hAnsi="Times New Roman" w:cs="Times New Roman"/>
          <w:noProof/>
        </w:rPr>
      </w:pPr>
      <w:r w:rsidRPr="00887903">
        <w:rPr>
          <w:rFonts w:ascii="Times New Roman" w:hAnsi="Times New Roman" w:cs="Times New Roman"/>
          <w:noProof/>
        </w:rPr>
        <w:t>Wagner, W. L., P. C. Hoch, and P. H. Raven. 2007. Revised Classification of the Onagraceae. Page Systematic Botany Monographs. The American Society of Plant Taxonomists.</w:t>
      </w:r>
    </w:p>
    <w:p w14:paraId="6605B66C" w14:textId="417ABC7F" w:rsidR="00F02825" w:rsidRPr="00C06934" w:rsidRDefault="00F02825" w:rsidP="00887903">
      <w:pPr>
        <w:widowControl w:val="0"/>
        <w:autoSpaceDE w:val="0"/>
        <w:autoSpaceDN w:val="0"/>
        <w:adjustRightInd w:val="0"/>
        <w:spacing w:before="120" w:after="100"/>
        <w:ind w:left="480" w:hanging="480"/>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p w14:paraId="66AE806F" w14:textId="4BA60A19" w:rsidR="00A40CBD" w:rsidRPr="00C06934" w:rsidRDefault="00A40CBD" w:rsidP="00F02825">
      <w:pPr>
        <w:widowControl w:val="0"/>
        <w:autoSpaceDE w:val="0"/>
        <w:autoSpaceDN w:val="0"/>
        <w:adjustRightInd w:val="0"/>
        <w:spacing w:before="120" w:after="100" w:afterAutospacing="1"/>
        <w:rPr>
          <w:rFonts w:ascii="Times New Roman" w:hAnsi="Times New Roman" w:cs="Times New Roman"/>
          <w:b/>
          <w:bCs/>
          <w:color w:val="000000" w:themeColor="text1"/>
        </w:rPr>
      </w:pPr>
    </w:p>
    <w:p w14:paraId="7A00B83B" w14:textId="10E10237" w:rsidR="001D18A5" w:rsidRPr="00C06934" w:rsidRDefault="00E05AF4" w:rsidP="00B21A84">
      <w:pPr>
        <w:rPr>
          <w:rFonts w:ascii="Times New Roman" w:hAnsi="Times New Roman" w:cs="Times New Roman"/>
          <w:color w:val="000000" w:themeColor="text1"/>
        </w:rPr>
      </w:pPr>
      <w:r w:rsidRPr="00C06934">
        <w:rPr>
          <w:rFonts w:ascii="Times New Roman" w:hAnsi="Times New Roman" w:cs="Times New Roman"/>
          <w:color w:val="000000" w:themeColor="text1"/>
        </w:rPr>
        <w:t xml:space="preserve">** change the Rondeau and </w:t>
      </w:r>
      <w:proofErr w:type="spellStart"/>
      <w:r w:rsidRPr="00C06934">
        <w:rPr>
          <w:rFonts w:ascii="Times New Roman" w:hAnsi="Times New Roman" w:cs="Times New Roman"/>
          <w:color w:val="000000" w:themeColor="text1"/>
        </w:rPr>
        <w:t>Heidel</w:t>
      </w:r>
      <w:proofErr w:type="spellEnd"/>
      <w:r w:rsidRPr="00C06934">
        <w:rPr>
          <w:rFonts w:ascii="Times New Roman" w:hAnsi="Times New Roman" w:cs="Times New Roman"/>
          <w:color w:val="000000" w:themeColor="text1"/>
        </w:rPr>
        <w:t xml:space="preserve"> citations to include the ‘Prepared for…” statements</w:t>
      </w:r>
      <w:r w:rsidR="00015C55" w:rsidRPr="00C06934">
        <w:rPr>
          <w:rFonts w:ascii="Times New Roman" w:hAnsi="Times New Roman" w:cs="Times New Roman"/>
          <w:color w:val="000000" w:themeColor="text1"/>
        </w:rPr>
        <w:t xml:space="preserve">  ** also maybe change the italicization of the species name, if required</w:t>
      </w:r>
    </w:p>
    <w:p w14:paraId="29665172" w14:textId="77777777" w:rsidR="009414ED" w:rsidRPr="00C06934" w:rsidRDefault="009414ED" w:rsidP="00B21A84">
      <w:pPr>
        <w:rPr>
          <w:rFonts w:ascii="Times New Roman" w:hAnsi="Times New Roman" w:cs="Times New Roman"/>
          <w:color w:val="000000" w:themeColor="text1"/>
        </w:rPr>
      </w:pPr>
    </w:p>
    <w:sectPr w:rsidR="009414ED" w:rsidRPr="00C06934" w:rsidSect="009414E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0CEB" w14:textId="77777777" w:rsidR="00BE69A7" w:rsidRDefault="00BE69A7" w:rsidP="009414ED">
      <w:r>
        <w:separator/>
      </w:r>
    </w:p>
  </w:endnote>
  <w:endnote w:type="continuationSeparator" w:id="0">
    <w:p w14:paraId="6A4223F8" w14:textId="77777777" w:rsidR="00BE69A7" w:rsidRDefault="00BE69A7" w:rsidP="009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GSMinchoE">
    <w:panose1 w:val="02020900000000000000"/>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3DFF" w14:textId="77777777" w:rsidR="00BE69A7" w:rsidRDefault="00BE69A7" w:rsidP="009414ED">
      <w:r>
        <w:separator/>
      </w:r>
    </w:p>
  </w:footnote>
  <w:footnote w:type="continuationSeparator" w:id="0">
    <w:p w14:paraId="139120C9" w14:textId="77777777" w:rsidR="00BE69A7" w:rsidRDefault="00BE69A7" w:rsidP="00941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99"/>
    <w:multiLevelType w:val="hybridMultilevel"/>
    <w:tmpl w:val="919C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F59"/>
    <w:multiLevelType w:val="hybridMultilevel"/>
    <w:tmpl w:val="4C2A5480"/>
    <w:lvl w:ilvl="0" w:tplc="CA28DF34">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416C"/>
    <w:multiLevelType w:val="hybridMultilevel"/>
    <w:tmpl w:val="A3569526"/>
    <w:lvl w:ilvl="0" w:tplc="6DB05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C3C88"/>
    <w:multiLevelType w:val="hybridMultilevel"/>
    <w:tmpl w:val="34B6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C0840C86">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B67FD"/>
    <w:multiLevelType w:val="hybridMultilevel"/>
    <w:tmpl w:val="1E9ED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64A4B"/>
    <w:multiLevelType w:val="hybridMultilevel"/>
    <w:tmpl w:val="1D6E6472"/>
    <w:lvl w:ilvl="0" w:tplc="4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B77D1"/>
    <w:multiLevelType w:val="hybridMultilevel"/>
    <w:tmpl w:val="D50A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F0A11"/>
    <w:multiLevelType w:val="hybridMultilevel"/>
    <w:tmpl w:val="D1CC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56DE9"/>
    <w:multiLevelType w:val="hybridMultilevel"/>
    <w:tmpl w:val="A280B0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47E02CC2"/>
    <w:multiLevelType w:val="hybridMultilevel"/>
    <w:tmpl w:val="76204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685B94"/>
    <w:multiLevelType w:val="hybridMultilevel"/>
    <w:tmpl w:val="00C6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17858"/>
    <w:multiLevelType w:val="hybridMultilevel"/>
    <w:tmpl w:val="17C42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350A8"/>
    <w:multiLevelType w:val="hybridMultilevel"/>
    <w:tmpl w:val="3D82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36B08"/>
    <w:multiLevelType w:val="hybridMultilevel"/>
    <w:tmpl w:val="BA4C8884"/>
    <w:lvl w:ilvl="0" w:tplc="32ECD2E2">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14" w15:restartNumberingAfterBreak="0">
    <w:nsid w:val="792E1AEC"/>
    <w:multiLevelType w:val="hybridMultilevel"/>
    <w:tmpl w:val="1D56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14"/>
  </w:num>
  <w:num w:numId="6">
    <w:abstractNumId w:val="0"/>
  </w:num>
  <w:num w:numId="7">
    <w:abstractNumId w:val="9"/>
  </w:num>
  <w:num w:numId="8">
    <w:abstractNumId w:val="10"/>
  </w:num>
  <w:num w:numId="9">
    <w:abstractNumId w:val="12"/>
  </w:num>
  <w:num w:numId="10">
    <w:abstractNumId w:val="3"/>
  </w:num>
  <w:num w:numId="11">
    <w:abstractNumId w:val="11"/>
  </w:num>
  <w:num w:numId="12">
    <w:abstractNumId w:val="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C0"/>
    <w:rsid w:val="00012A43"/>
    <w:rsid w:val="000150EE"/>
    <w:rsid w:val="00015C55"/>
    <w:rsid w:val="00017BCB"/>
    <w:rsid w:val="00021D45"/>
    <w:rsid w:val="0002340D"/>
    <w:rsid w:val="0002512D"/>
    <w:rsid w:val="000335B3"/>
    <w:rsid w:val="00045EBF"/>
    <w:rsid w:val="00057944"/>
    <w:rsid w:val="000633EE"/>
    <w:rsid w:val="000634AC"/>
    <w:rsid w:val="00070024"/>
    <w:rsid w:val="00075FBB"/>
    <w:rsid w:val="00080BDB"/>
    <w:rsid w:val="000A5135"/>
    <w:rsid w:val="000B4F0D"/>
    <w:rsid w:val="000B5223"/>
    <w:rsid w:val="000B6EDB"/>
    <w:rsid w:val="000C17BA"/>
    <w:rsid w:val="000E0966"/>
    <w:rsid w:val="000F54B4"/>
    <w:rsid w:val="001002AE"/>
    <w:rsid w:val="00106C3B"/>
    <w:rsid w:val="00107851"/>
    <w:rsid w:val="00107BB4"/>
    <w:rsid w:val="00120B99"/>
    <w:rsid w:val="001213CD"/>
    <w:rsid w:val="001256C7"/>
    <w:rsid w:val="00130FD4"/>
    <w:rsid w:val="001336F5"/>
    <w:rsid w:val="001402FD"/>
    <w:rsid w:val="00142655"/>
    <w:rsid w:val="0014340A"/>
    <w:rsid w:val="00143F37"/>
    <w:rsid w:val="00145867"/>
    <w:rsid w:val="00145BC4"/>
    <w:rsid w:val="001637DC"/>
    <w:rsid w:val="00163CA7"/>
    <w:rsid w:val="00177631"/>
    <w:rsid w:val="001778B4"/>
    <w:rsid w:val="001779BE"/>
    <w:rsid w:val="0018689C"/>
    <w:rsid w:val="001934D4"/>
    <w:rsid w:val="00196895"/>
    <w:rsid w:val="001A1048"/>
    <w:rsid w:val="001A55D5"/>
    <w:rsid w:val="001A5F93"/>
    <w:rsid w:val="001B178F"/>
    <w:rsid w:val="001B3F37"/>
    <w:rsid w:val="001B611D"/>
    <w:rsid w:val="001B7CA0"/>
    <w:rsid w:val="001C535E"/>
    <w:rsid w:val="001D18A5"/>
    <w:rsid w:val="001D26F6"/>
    <w:rsid w:val="001D6C46"/>
    <w:rsid w:val="001D79B8"/>
    <w:rsid w:val="001E2856"/>
    <w:rsid w:val="002001C0"/>
    <w:rsid w:val="002049F4"/>
    <w:rsid w:val="002444F0"/>
    <w:rsid w:val="00255B89"/>
    <w:rsid w:val="00261500"/>
    <w:rsid w:val="0026424D"/>
    <w:rsid w:val="00270889"/>
    <w:rsid w:val="00275949"/>
    <w:rsid w:val="002814D4"/>
    <w:rsid w:val="00281C8C"/>
    <w:rsid w:val="00286A31"/>
    <w:rsid w:val="00291E15"/>
    <w:rsid w:val="002972D2"/>
    <w:rsid w:val="002A6DF5"/>
    <w:rsid w:val="002A7CD5"/>
    <w:rsid w:val="002C006F"/>
    <w:rsid w:val="002C3602"/>
    <w:rsid w:val="002D2306"/>
    <w:rsid w:val="002E40BB"/>
    <w:rsid w:val="002F7AAC"/>
    <w:rsid w:val="00300BD7"/>
    <w:rsid w:val="00315972"/>
    <w:rsid w:val="00321AC7"/>
    <w:rsid w:val="0032637B"/>
    <w:rsid w:val="0032704B"/>
    <w:rsid w:val="00332FC6"/>
    <w:rsid w:val="00335B33"/>
    <w:rsid w:val="00341BFA"/>
    <w:rsid w:val="00362E58"/>
    <w:rsid w:val="00363F28"/>
    <w:rsid w:val="00375CA8"/>
    <w:rsid w:val="00376855"/>
    <w:rsid w:val="00397D29"/>
    <w:rsid w:val="003B7BE4"/>
    <w:rsid w:val="003C4FC7"/>
    <w:rsid w:val="003D0250"/>
    <w:rsid w:val="003D463A"/>
    <w:rsid w:val="003F0141"/>
    <w:rsid w:val="003F1027"/>
    <w:rsid w:val="003F6014"/>
    <w:rsid w:val="00407542"/>
    <w:rsid w:val="00410D26"/>
    <w:rsid w:val="00412503"/>
    <w:rsid w:val="004144A1"/>
    <w:rsid w:val="0041741A"/>
    <w:rsid w:val="00423007"/>
    <w:rsid w:val="004429C4"/>
    <w:rsid w:val="004518F9"/>
    <w:rsid w:val="00461866"/>
    <w:rsid w:val="00476F65"/>
    <w:rsid w:val="00477615"/>
    <w:rsid w:val="004940D6"/>
    <w:rsid w:val="004A02F1"/>
    <w:rsid w:val="004A1051"/>
    <w:rsid w:val="004B1FAD"/>
    <w:rsid w:val="004C28F1"/>
    <w:rsid w:val="004C38FB"/>
    <w:rsid w:val="004D2041"/>
    <w:rsid w:val="004D749E"/>
    <w:rsid w:val="004F0969"/>
    <w:rsid w:val="004F6279"/>
    <w:rsid w:val="00501F8E"/>
    <w:rsid w:val="005243DD"/>
    <w:rsid w:val="00526CAF"/>
    <w:rsid w:val="005329E6"/>
    <w:rsid w:val="005373C0"/>
    <w:rsid w:val="00541885"/>
    <w:rsid w:val="005545C7"/>
    <w:rsid w:val="00560013"/>
    <w:rsid w:val="00583742"/>
    <w:rsid w:val="00584E98"/>
    <w:rsid w:val="00587C4D"/>
    <w:rsid w:val="00594745"/>
    <w:rsid w:val="005972DD"/>
    <w:rsid w:val="005C4D68"/>
    <w:rsid w:val="005E0051"/>
    <w:rsid w:val="005E51D7"/>
    <w:rsid w:val="005E5652"/>
    <w:rsid w:val="005E62D4"/>
    <w:rsid w:val="005E6626"/>
    <w:rsid w:val="005E667C"/>
    <w:rsid w:val="0060538C"/>
    <w:rsid w:val="00607844"/>
    <w:rsid w:val="00610D01"/>
    <w:rsid w:val="00611868"/>
    <w:rsid w:val="0061419E"/>
    <w:rsid w:val="00616982"/>
    <w:rsid w:val="00625275"/>
    <w:rsid w:val="00635B3B"/>
    <w:rsid w:val="006372AE"/>
    <w:rsid w:val="0064534C"/>
    <w:rsid w:val="00653008"/>
    <w:rsid w:val="00653455"/>
    <w:rsid w:val="006615C4"/>
    <w:rsid w:val="006675EB"/>
    <w:rsid w:val="0068131F"/>
    <w:rsid w:val="006813DA"/>
    <w:rsid w:val="006834D7"/>
    <w:rsid w:val="00691AC2"/>
    <w:rsid w:val="006A6593"/>
    <w:rsid w:val="006A779E"/>
    <w:rsid w:val="006C62BF"/>
    <w:rsid w:val="006D0C00"/>
    <w:rsid w:val="006D4283"/>
    <w:rsid w:val="006D6B31"/>
    <w:rsid w:val="006F46F6"/>
    <w:rsid w:val="00704A4C"/>
    <w:rsid w:val="00705BC2"/>
    <w:rsid w:val="007137C7"/>
    <w:rsid w:val="00715E40"/>
    <w:rsid w:val="00716F82"/>
    <w:rsid w:val="007377F2"/>
    <w:rsid w:val="0074351A"/>
    <w:rsid w:val="00751998"/>
    <w:rsid w:val="00763205"/>
    <w:rsid w:val="00774D79"/>
    <w:rsid w:val="00777D91"/>
    <w:rsid w:val="00782234"/>
    <w:rsid w:val="00794336"/>
    <w:rsid w:val="00797162"/>
    <w:rsid w:val="007A2D8F"/>
    <w:rsid w:val="007A647D"/>
    <w:rsid w:val="007A797D"/>
    <w:rsid w:val="007B11AD"/>
    <w:rsid w:val="007B252D"/>
    <w:rsid w:val="007C078F"/>
    <w:rsid w:val="007D621A"/>
    <w:rsid w:val="007F1844"/>
    <w:rsid w:val="00830A9D"/>
    <w:rsid w:val="00832F11"/>
    <w:rsid w:val="00855D12"/>
    <w:rsid w:val="008637A8"/>
    <w:rsid w:val="00864607"/>
    <w:rsid w:val="008657EA"/>
    <w:rsid w:val="00871D3F"/>
    <w:rsid w:val="00871DF7"/>
    <w:rsid w:val="0087201E"/>
    <w:rsid w:val="00875818"/>
    <w:rsid w:val="00887903"/>
    <w:rsid w:val="008919CB"/>
    <w:rsid w:val="0089406E"/>
    <w:rsid w:val="0089449A"/>
    <w:rsid w:val="00895965"/>
    <w:rsid w:val="008A3D55"/>
    <w:rsid w:val="008B68C1"/>
    <w:rsid w:val="008E161C"/>
    <w:rsid w:val="008E23C8"/>
    <w:rsid w:val="008F552C"/>
    <w:rsid w:val="009030F1"/>
    <w:rsid w:val="00915FA3"/>
    <w:rsid w:val="009414ED"/>
    <w:rsid w:val="0094498A"/>
    <w:rsid w:val="0095410E"/>
    <w:rsid w:val="0096311C"/>
    <w:rsid w:val="009660DF"/>
    <w:rsid w:val="00973F38"/>
    <w:rsid w:val="00982C18"/>
    <w:rsid w:val="00985C6E"/>
    <w:rsid w:val="00993A94"/>
    <w:rsid w:val="009A2086"/>
    <w:rsid w:val="009E07BC"/>
    <w:rsid w:val="009E40E7"/>
    <w:rsid w:val="009F6A12"/>
    <w:rsid w:val="00A02700"/>
    <w:rsid w:val="00A15210"/>
    <w:rsid w:val="00A24550"/>
    <w:rsid w:val="00A32038"/>
    <w:rsid w:val="00A40CBD"/>
    <w:rsid w:val="00A44CA9"/>
    <w:rsid w:val="00A533F5"/>
    <w:rsid w:val="00A809EB"/>
    <w:rsid w:val="00A82857"/>
    <w:rsid w:val="00A90C80"/>
    <w:rsid w:val="00A94FCE"/>
    <w:rsid w:val="00AA4A7F"/>
    <w:rsid w:val="00AA4DB5"/>
    <w:rsid w:val="00AA70C5"/>
    <w:rsid w:val="00AB2D15"/>
    <w:rsid w:val="00AB77EA"/>
    <w:rsid w:val="00AC181C"/>
    <w:rsid w:val="00AE4F41"/>
    <w:rsid w:val="00B03D8F"/>
    <w:rsid w:val="00B055AE"/>
    <w:rsid w:val="00B145D6"/>
    <w:rsid w:val="00B21A84"/>
    <w:rsid w:val="00B228DE"/>
    <w:rsid w:val="00B24DFA"/>
    <w:rsid w:val="00B31A8E"/>
    <w:rsid w:val="00B32A1E"/>
    <w:rsid w:val="00B43D94"/>
    <w:rsid w:val="00B56DDD"/>
    <w:rsid w:val="00B72F5A"/>
    <w:rsid w:val="00B809AF"/>
    <w:rsid w:val="00B8204B"/>
    <w:rsid w:val="00B908C1"/>
    <w:rsid w:val="00BB3449"/>
    <w:rsid w:val="00BB684E"/>
    <w:rsid w:val="00BD4C5D"/>
    <w:rsid w:val="00BE69A7"/>
    <w:rsid w:val="00BF62A2"/>
    <w:rsid w:val="00C018C6"/>
    <w:rsid w:val="00C06728"/>
    <w:rsid w:val="00C06934"/>
    <w:rsid w:val="00C10815"/>
    <w:rsid w:val="00C13227"/>
    <w:rsid w:val="00C153AC"/>
    <w:rsid w:val="00C15D2F"/>
    <w:rsid w:val="00C20328"/>
    <w:rsid w:val="00C24CD3"/>
    <w:rsid w:val="00C33326"/>
    <w:rsid w:val="00C35295"/>
    <w:rsid w:val="00C46A96"/>
    <w:rsid w:val="00C51AD3"/>
    <w:rsid w:val="00C523BB"/>
    <w:rsid w:val="00C60610"/>
    <w:rsid w:val="00C62B94"/>
    <w:rsid w:val="00C86DB2"/>
    <w:rsid w:val="00C87536"/>
    <w:rsid w:val="00CA031C"/>
    <w:rsid w:val="00CA0370"/>
    <w:rsid w:val="00CA343E"/>
    <w:rsid w:val="00CB5783"/>
    <w:rsid w:val="00CC370F"/>
    <w:rsid w:val="00CC4125"/>
    <w:rsid w:val="00CF56DA"/>
    <w:rsid w:val="00D07A7C"/>
    <w:rsid w:val="00D14E50"/>
    <w:rsid w:val="00D24F4D"/>
    <w:rsid w:val="00D3498F"/>
    <w:rsid w:val="00D40CEB"/>
    <w:rsid w:val="00D41098"/>
    <w:rsid w:val="00D50E0D"/>
    <w:rsid w:val="00D57671"/>
    <w:rsid w:val="00D80C76"/>
    <w:rsid w:val="00D814D2"/>
    <w:rsid w:val="00D824D8"/>
    <w:rsid w:val="00D85EFD"/>
    <w:rsid w:val="00D91E20"/>
    <w:rsid w:val="00D93AA5"/>
    <w:rsid w:val="00DB2596"/>
    <w:rsid w:val="00DB686C"/>
    <w:rsid w:val="00DD3B32"/>
    <w:rsid w:val="00DD3B91"/>
    <w:rsid w:val="00DD546B"/>
    <w:rsid w:val="00DD56D6"/>
    <w:rsid w:val="00DD641A"/>
    <w:rsid w:val="00DE3F90"/>
    <w:rsid w:val="00E00482"/>
    <w:rsid w:val="00E03687"/>
    <w:rsid w:val="00E03D2B"/>
    <w:rsid w:val="00E041C4"/>
    <w:rsid w:val="00E05AF4"/>
    <w:rsid w:val="00E068AA"/>
    <w:rsid w:val="00E06DA4"/>
    <w:rsid w:val="00E07985"/>
    <w:rsid w:val="00E141D1"/>
    <w:rsid w:val="00E14B4A"/>
    <w:rsid w:val="00E30FFD"/>
    <w:rsid w:val="00E32A82"/>
    <w:rsid w:val="00E36C8A"/>
    <w:rsid w:val="00E60A49"/>
    <w:rsid w:val="00E725AA"/>
    <w:rsid w:val="00E739D5"/>
    <w:rsid w:val="00E8072B"/>
    <w:rsid w:val="00E83D4F"/>
    <w:rsid w:val="00E923D9"/>
    <w:rsid w:val="00E94DC3"/>
    <w:rsid w:val="00EA295F"/>
    <w:rsid w:val="00EB0349"/>
    <w:rsid w:val="00EB16BC"/>
    <w:rsid w:val="00EB6AD8"/>
    <w:rsid w:val="00ED6ECB"/>
    <w:rsid w:val="00EE322E"/>
    <w:rsid w:val="00EE6E6C"/>
    <w:rsid w:val="00EE7026"/>
    <w:rsid w:val="00EF2B3C"/>
    <w:rsid w:val="00F02825"/>
    <w:rsid w:val="00F1234D"/>
    <w:rsid w:val="00F13F46"/>
    <w:rsid w:val="00F3278E"/>
    <w:rsid w:val="00F40C61"/>
    <w:rsid w:val="00F4379F"/>
    <w:rsid w:val="00F54047"/>
    <w:rsid w:val="00F54474"/>
    <w:rsid w:val="00F560F9"/>
    <w:rsid w:val="00F5682B"/>
    <w:rsid w:val="00F649E7"/>
    <w:rsid w:val="00F7554F"/>
    <w:rsid w:val="00F8758D"/>
    <w:rsid w:val="00F96C74"/>
    <w:rsid w:val="00FB25D5"/>
    <w:rsid w:val="00FB718E"/>
    <w:rsid w:val="00FC0971"/>
    <w:rsid w:val="00FC2C41"/>
    <w:rsid w:val="00FC776B"/>
    <w:rsid w:val="00FD494A"/>
    <w:rsid w:val="00FE1374"/>
    <w:rsid w:val="00FE20A0"/>
    <w:rsid w:val="00FE20DE"/>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A1D6"/>
  <w15:docId w15:val="{B3C5A323-D66C-754B-BC17-6709230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006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3C0"/>
    <w:rPr>
      <w:color w:val="808080"/>
    </w:rPr>
  </w:style>
  <w:style w:type="paragraph" w:styleId="Header">
    <w:name w:val="header"/>
    <w:basedOn w:val="Normal"/>
    <w:link w:val="HeaderChar"/>
    <w:uiPriority w:val="99"/>
    <w:unhideWhenUsed/>
    <w:rsid w:val="009414ED"/>
    <w:pPr>
      <w:tabs>
        <w:tab w:val="center" w:pos="4680"/>
        <w:tab w:val="right" w:pos="9360"/>
      </w:tabs>
    </w:pPr>
  </w:style>
  <w:style w:type="character" w:customStyle="1" w:styleId="HeaderChar">
    <w:name w:val="Header Char"/>
    <w:basedOn w:val="DefaultParagraphFont"/>
    <w:link w:val="Header"/>
    <w:uiPriority w:val="99"/>
    <w:rsid w:val="009414ED"/>
  </w:style>
  <w:style w:type="paragraph" w:styleId="Footer">
    <w:name w:val="footer"/>
    <w:basedOn w:val="Normal"/>
    <w:link w:val="FooterChar"/>
    <w:uiPriority w:val="99"/>
    <w:unhideWhenUsed/>
    <w:rsid w:val="009414ED"/>
    <w:pPr>
      <w:tabs>
        <w:tab w:val="center" w:pos="4680"/>
        <w:tab w:val="right" w:pos="9360"/>
      </w:tabs>
    </w:pPr>
  </w:style>
  <w:style w:type="character" w:customStyle="1" w:styleId="FooterChar">
    <w:name w:val="Footer Char"/>
    <w:basedOn w:val="DefaultParagraphFont"/>
    <w:link w:val="Footer"/>
    <w:uiPriority w:val="99"/>
    <w:rsid w:val="009414ED"/>
  </w:style>
  <w:style w:type="character" w:styleId="PageNumber">
    <w:name w:val="page number"/>
    <w:basedOn w:val="DefaultParagraphFont"/>
    <w:uiPriority w:val="99"/>
    <w:semiHidden/>
    <w:unhideWhenUsed/>
    <w:rsid w:val="009414ED"/>
  </w:style>
  <w:style w:type="character" w:styleId="LineNumber">
    <w:name w:val="line number"/>
    <w:basedOn w:val="DefaultParagraphFont"/>
    <w:uiPriority w:val="99"/>
    <w:semiHidden/>
    <w:unhideWhenUsed/>
    <w:rsid w:val="009414ED"/>
  </w:style>
  <w:style w:type="paragraph" w:styleId="BodyText">
    <w:name w:val="Body Text"/>
    <w:basedOn w:val="Normal"/>
    <w:link w:val="BodyTextChar"/>
    <w:qFormat/>
    <w:rsid w:val="00255B89"/>
    <w:pPr>
      <w:spacing w:before="180" w:after="180"/>
    </w:pPr>
  </w:style>
  <w:style w:type="character" w:customStyle="1" w:styleId="BodyTextChar">
    <w:name w:val="Body Text Char"/>
    <w:basedOn w:val="DefaultParagraphFont"/>
    <w:link w:val="BodyText"/>
    <w:rsid w:val="00255B89"/>
  </w:style>
  <w:style w:type="paragraph" w:styleId="ListParagraph">
    <w:name w:val="List Paragraph"/>
    <w:basedOn w:val="Normal"/>
    <w:uiPriority w:val="34"/>
    <w:qFormat/>
    <w:rsid w:val="00177631"/>
    <w:pPr>
      <w:ind w:left="720"/>
      <w:contextualSpacing/>
    </w:pPr>
  </w:style>
  <w:style w:type="paragraph" w:styleId="NormalWeb">
    <w:name w:val="Normal (Web)"/>
    <w:basedOn w:val="Normal"/>
    <w:uiPriority w:val="99"/>
    <w:unhideWhenUsed/>
    <w:rsid w:val="0032704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A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006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641A"/>
    <w:rPr>
      <w:color w:val="0563C1" w:themeColor="hyperlink"/>
      <w:u w:val="single"/>
    </w:rPr>
  </w:style>
  <w:style w:type="character" w:styleId="UnresolvedMention">
    <w:name w:val="Unresolved Mention"/>
    <w:basedOn w:val="DefaultParagraphFont"/>
    <w:uiPriority w:val="99"/>
    <w:rsid w:val="00DD641A"/>
    <w:rPr>
      <w:color w:val="605E5C"/>
      <w:shd w:val="clear" w:color="auto" w:fill="E1DFDD"/>
    </w:rPr>
  </w:style>
  <w:style w:type="character" w:styleId="FollowedHyperlink">
    <w:name w:val="FollowedHyperlink"/>
    <w:basedOn w:val="DefaultParagraphFont"/>
    <w:uiPriority w:val="99"/>
    <w:semiHidden/>
    <w:unhideWhenUsed/>
    <w:rsid w:val="00DD6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539">
      <w:bodyDiv w:val="1"/>
      <w:marLeft w:val="0"/>
      <w:marRight w:val="0"/>
      <w:marTop w:val="0"/>
      <w:marBottom w:val="0"/>
      <w:divBdr>
        <w:top w:val="none" w:sz="0" w:space="0" w:color="auto"/>
        <w:left w:val="none" w:sz="0" w:space="0" w:color="auto"/>
        <w:bottom w:val="none" w:sz="0" w:space="0" w:color="auto"/>
        <w:right w:val="none" w:sz="0" w:space="0" w:color="auto"/>
      </w:divBdr>
    </w:div>
    <w:div w:id="66461575">
      <w:bodyDiv w:val="1"/>
      <w:marLeft w:val="0"/>
      <w:marRight w:val="0"/>
      <w:marTop w:val="0"/>
      <w:marBottom w:val="0"/>
      <w:divBdr>
        <w:top w:val="none" w:sz="0" w:space="0" w:color="auto"/>
        <w:left w:val="none" w:sz="0" w:space="0" w:color="auto"/>
        <w:bottom w:val="none" w:sz="0" w:space="0" w:color="auto"/>
        <w:right w:val="none" w:sz="0" w:space="0" w:color="auto"/>
      </w:divBdr>
      <w:divsChild>
        <w:div w:id="365521527">
          <w:marLeft w:val="0"/>
          <w:marRight w:val="0"/>
          <w:marTop w:val="0"/>
          <w:marBottom w:val="0"/>
          <w:divBdr>
            <w:top w:val="none" w:sz="0" w:space="0" w:color="auto"/>
            <w:left w:val="none" w:sz="0" w:space="0" w:color="auto"/>
            <w:bottom w:val="none" w:sz="0" w:space="0" w:color="auto"/>
            <w:right w:val="none" w:sz="0" w:space="0" w:color="auto"/>
          </w:divBdr>
          <w:divsChild>
            <w:div w:id="1208954156">
              <w:marLeft w:val="0"/>
              <w:marRight w:val="0"/>
              <w:marTop w:val="0"/>
              <w:marBottom w:val="0"/>
              <w:divBdr>
                <w:top w:val="none" w:sz="0" w:space="0" w:color="auto"/>
                <w:left w:val="none" w:sz="0" w:space="0" w:color="auto"/>
                <w:bottom w:val="none" w:sz="0" w:space="0" w:color="auto"/>
                <w:right w:val="none" w:sz="0" w:space="0" w:color="auto"/>
              </w:divBdr>
              <w:divsChild>
                <w:div w:id="1792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5691">
      <w:bodyDiv w:val="1"/>
      <w:marLeft w:val="0"/>
      <w:marRight w:val="0"/>
      <w:marTop w:val="0"/>
      <w:marBottom w:val="0"/>
      <w:divBdr>
        <w:top w:val="none" w:sz="0" w:space="0" w:color="auto"/>
        <w:left w:val="none" w:sz="0" w:space="0" w:color="auto"/>
        <w:bottom w:val="none" w:sz="0" w:space="0" w:color="auto"/>
        <w:right w:val="none" w:sz="0" w:space="0" w:color="auto"/>
      </w:divBdr>
    </w:div>
    <w:div w:id="632904311">
      <w:bodyDiv w:val="1"/>
      <w:marLeft w:val="0"/>
      <w:marRight w:val="0"/>
      <w:marTop w:val="0"/>
      <w:marBottom w:val="0"/>
      <w:divBdr>
        <w:top w:val="none" w:sz="0" w:space="0" w:color="auto"/>
        <w:left w:val="none" w:sz="0" w:space="0" w:color="auto"/>
        <w:bottom w:val="none" w:sz="0" w:space="0" w:color="auto"/>
        <w:right w:val="none" w:sz="0" w:space="0" w:color="auto"/>
      </w:divBdr>
    </w:div>
    <w:div w:id="810827596">
      <w:bodyDiv w:val="1"/>
      <w:marLeft w:val="0"/>
      <w:marRight w:val="0"/>
      <w:marTop w:val="0"/>
      <w:marBottom w:val="0"/>
      <w:divBdr>
        <w:top w:val="none" w:sz="0" w:space="0" w:color="auto"/>
        <w:left w:val="none" w:sz="0" w:space="0" w:color="auto"/>
        <w:bottom w:val="none" w:sz="0" w:space="0" w:color="auto"/>
        <w:right w:val="none" w:sz="0" w:space="0" w:color="auto"/>
      </w:divBdr>
      <w:divsChild>
        <w:div w:id="191504427">
          <w:marLeft w:val="0"/>
          <w:marRight w:val="0"/>
          <w:marTop w:val="0"/>
          <w:marBottom w:val="0"/>
          <w:divBdr>
            <w:top w:val="none" w:sz="0" w:space="0" w:color="auto"/>
            <w:left w:val="none" w:sz="0" w:space="0" w:color="auto"/>
            <w:bottom w:val="none" w:sz="0" w:space="0" w:color="auto"/>
            <w:right w:val="none" w:sz="0" w:space="0" w:color="auto"/>
          </w:divBdr>
          <w:divsChild>
            <w:div w:id="244806568">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8107">
      <w:bodyDiv w:val="1"/>
      <w:marLeft w:val="0"/>
      <w:marRight w:val="0"/>
      <w:marTop w:val="0"/>
      <w:marBottom w:val="0"/>
      <w:divBdr>
        <w:top w:val="none" w:sz="0" w:space="0" w:color="auto"/>
        <w:left w:val="none" w:sz="0" w:space="0" w:color="auto"/>
        <w:bottom w:val="none" w:sz="0" w:space="0" w:color="auto"/>
        <w:right w:val="none" w:sz="0" w:space="0" w:color="auto"/>
      </w:divBdr>
    </w:div>
    <w:div w:id="1022898220">
      <w:bodyDiv w:val="1"/>
      <w:marLeft w:val="0"/>
      <w:marRight w:val="0"/>
      <w:marTop w:val="0"/>
      <w:marBottom w:val="0"/>
      <w:divBdr>
        <w:top w:val="none" w:sz="0" w:space="0" w:color="auto"/>
        <w:left w:val="none" w:sz="0" w:space="0" w:color="auto"/>
        <w:bottom w:val="none" w:sz="0" w:space="0" w:color="auto"/>
        <w:right w:val="none" w:sz="0" w:space="0" w:color="auto"/>
      </w:divBdr>
      <w:divsChild>
        <w:div w:id="712726876">
          <w:marLeft w:val="0"/>
          <w:marRight w:val="0"/>
          <w:marTop w:val="0"/>
          <w:marBottom w:val="0"/>
          <w:divBdr>
            <w:top w:val="none" w:sz="0" w:space="0" w:color="auto"/>
            <w:left w:val="none" w:sz="0" w:space="0" w:color="auto"/>
            <w:bottom w:val="none" w:sz="0" w:space="0" w:color="auto"/>
            <w:right w:val="none" w:sz="0" w:space="0" w:color="auto"/>
          </w:divBdr>
          <w:divsChild>
            <w:div w:id="65229467">
              <w:marLeft w:val="0"/>
              <w:marRight w:val="0"/>
              <w:marTop w:val="0"/>
              <w:marBottom w:val="0"/>
              <w:divBdr>
                <w:top w:val="none" w:sz="0" w:space="0" w:color="auto"/>
                <w:left w:val="none" w:sz="0" w:space="0" w:color="auto"/>
                <w:bottom w:val="none" w:sz="0" w:space="0" w:color="auto"/>
                <w:right w:val="none" w:sz="0" w:space="0" w:color="auto"/>
              </w:divBdr>
              <w:divsChild>
                <w:div w:id="160778388">
                  <w:marLeft w:val="0"/>
                  <w:marRight w:val="0"/>
                  <w:marTop w:val="0"/>
                  <w:marBottom w:val="0"/>
                  <w:divBdr>
                    <w:top w:val="none" w:sz="0" w:space="0" w:color="auto"/>
                    <w:left w:val="none" w:sz="0" w:space="0" w:color="auto"/>
                    <w:bottom w:val="none" w:sz="0" w:space="0" w:color="auto"/>
                    <w:right w:val="none" w:sz="0" w:space="0" w:color="auto"/>
                  </w:divBdr>
                  <w:divsChild>
                    <w:div w:id="4917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5930">
      <w:bodyDiv w:val="1"/>
      <w:marLeft w:val="0"/>
      <w:marRight w:val="0"/>
      <w:marTop w:val="0"/>
      <w:marBottom w:val="0"/>
      <w:divBdr>
        <w:top w:val="none" w:sz="0" w:space="0" w:color="auto"/>
        <w:left w:val="none" w:sz="0" w:space="0" w:color="auto"/>
        <w:bottom w:val="none" w:sz="0" w:space="0" w:color="auto"/>
        <w:right w:val="none" w:sz="0" w:space="0" w:color="auto"/>
      </w:divBdr>
    </w:div>
    <w:div w:id="1344822229">
      <w:bodyDiv w:val="1"/>
      <w:marLeft w:val="0"/>
      <w:marRight w:val="0"/>
      <w:marTop w:val="0"/>
      <w:marBottom w:val="0"/>
      <w:divBdr>
        <w:top w:val="none" w:sz="0" w:space="0" w:color="auto"/>
        <w:left w:val="none" w:sz="0" w:space="0" w:color="auto"/>
        <w:bottom w:val="none" w:sz="0" w:space="0" w:color="auto"/>
        <w:right w:val="none" w:sz="0" w:space="0" w:color="auto"/>
      </w:divBdr>
      <w:divsChild>
        <w:div w:id="1690522542">
          <w:marLeft w:val="0"/>
          <w:marRight w:val="0"/>
          <w:marTop w:val="0"/>
          <w:marBottom w:val="0"/>
          <w:divBdr>
            <w:top w:val="none" w:sz="0" w:space="0" w:color="auto"/>
            <w:left w:val="none" w:sz="0" w:space="0" w:color="auto"/>
            <w:bottom w:val="none" w:sz="0" w:space="0" w:color="auto"/>
            <w:right w:val="none" w:sz="0" w:space="0" w:color="auto"/>
          </w:divBdr>
          <w:divsChild>
            <w:div w:id="919799714">
              <w:marLeft w:val="0"/>
              <w:marRight w:val="0"/>
              <w:marTop w:val="0"/>
              <w:marBottom w:val="0"/>
              <w:divBdr>
                <w:top w:val="none" w:sz="0" w:space="0" w:color="auto"/>
                <w:left w:val="none" w:sz="0" w:space="0" w:color="auto"/>
                <w:bottom w:val="none" w:sz="0" w:space="0" w:color="auto"/>
                <w:right w:val="none" w:sz="0" w:space="0" w:color="auto"/>
              </w:divBdr>
              <w:divsChild>
                <w:div w:id="1983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352">
      <w:bodyDiv w:val="1"/>
      <w:marLeft w:val="0"/>
      <w:marRight w:val="0"/>
      <w:marTop w:val="0"/>
      <w:marBottom w:val="0"/>
      <w:divBdr>
        <w:top w:val="none" w:sz="0" w:space="0" w:color="auto"/>
        <w:left w:val="none" w:sz="0" w:space="0" w:color="auto"/>
        <w:bottom w:val="none" w:sz="0" w:space="0" w:color="auto"/>
        <w:right w:val="none" w:sz="0" w:space="0" w:color="auto"/>
      </w:divBdr>
      <w:divsChild>
        <w:div w:id="747265155">
          <w:marLeft w:val="0"/>
          <w:marRight w:val="0"/>
          <w:marTop w:val="0"/>
          <w:marBottom w:val="0"/>
          <w:divBdr>
            <w:top w:val="none" w:sz="0" w:space="0" w:color="auto"/>
            <w:left w:val="none" w:sz="0" w:space="0" w:color="auto"/>
            <w:bottom w:val="none" w:sz="0" w:space="0" w:color="auto"/>
            <w:right w:val="none" w:sz="0" w:space="0" w:color="auto"/>
          </w:divBdr>
          <w:divsChild>
            <w:div w:id="1265960771">
              <w:marLeft w:val="0"/>
              <w:marRight w:val="0"/>
              <w:marTop w:val="0"/>
              <w:marBottom w:val="0"/>
              <w:divBdr>
                <w:top w:val="none" w:sz="0" w:space="0" w:color="auto"/>
                <w:left w:val="none" w:sz="0" w:space="0" w:color="auto"/>
                <w:bottom w:val="none" w:sz="0" w:space="0" w:color="auto"/>
                <w:right w:val="none" w:sz="0" w:space="0" w:color="auto"/>
              </w:divBdr>
            </w:div>
          </w:divsChild>
        </w:div>
        <w:div w:id="694500612">
          <w:marLeft w:val="0"/>
          <w:marRight w:val="0"/>
          <w:marTop w:val="0"/>
          <w:marBottom w:val="0"/>
          <w:divBdr>
            <w:top w:val="none" w:sz="0" w:space="0" w:color="auto"/>
            <w:left w:val="none" w:sz="0" w:space="0" w:color="auto"/>
            <w:bottom w:val="none" w:sz="0" w:space="0" w:color="auto"/>
            <w:right w:val="none" w:sz="0" w:space="0" w:color="auto"/>
          </w:divBdr>
        </w:div>
      </w:divsChild>
    </w:div>
    <w:div w:id="1692687627">
      <w:bodyDiv w:val="1"/>
      <w:marLeft w:val="0"/>
      <w:marRight w:val="0"/>
      <w:marTop w:val="0"/>
      <w:marBottom w:val="0"/>
      <w:divBdr>
        <w:top w:val="none" w:sz="0" w:space="0" w:color="auto"/>
        <w:left w:val="none" w:sz="0" w:space="0" w:color="auto"/>
        <w:bottom w:val="none" w:sz="0" w:space="0" w:color="auto"/>
        <w:right w:val="none" w:sz="0" w:space="0" w:color="auto"/>
      </w:divBdr>
      <w:divsChild>
        <w:div w:id="1328635456">
          <w:marLeft w:val="0"/>
          <w:marRight w:val="0"/>
          <w:marTop w:val="0"/>
          <w:marBottom w:val="0"/>
          <w:divBdr>
            <w:top w:val="none" w:sz="0" w:space="0" w:color="auto"/>
            <w:left w:val="none" w:sz="0" w:space="0" w:color="auto"/>
            <w:bottom w:val="none" w:sz="0" w:space="0" w:color="auto"/>
            <w:right w:val="none" w:sz="0" w:space="0" w:color="auto"/>
          </w:divBdr>
          <w:divsChild>
            <w:div w:id="236012501">
              <w:marLeft w:val="0"/>
              <w:marRight w:val="0"/>
              <w:marTop w:val="0"/>
              <w:marBottom w:val="0"/>
              <w:divBdr>
                <w:top w:val="none" w:sz="0" w:space="0" w:color="auto"/>
                <w:left w:val="none" w:sz="0" w:space="0" w:color="auto"/>
                <w:bottom w:val="none" w:sz="0" w:space="0" w:color="auto"/>
                <w:right w:val="none" w:sz="0" w:space="0" w:color="auto"/>
              </w:divBdr>
              <w:divsChild>
                <w:div w:id="481582781">
                  <w:marLeft w:val="0"/>
                  <w:marRight w:val="0"/>
                  <w:marTop w:val="0"/>
                  <w:marBottom w:val="0"/>
                  <w:divBdr>
                    <w:top w:val="none" w:sz="0" w:space="0" w:color="auto"/>
                    <w:left w:val="none" w:sz="0" w:space="0" w:color="auto"/>
                    <w:bottom w:val="none" w:sz="0" w:space="0" w:color="auto"/>
                    <w:right w:val="none" w:sz="0" w:space="0" w:color="auto"/>
                  </w:divBdr>
                  <w:divsChild>
                    <w:div w:id="1898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74475">
      <w:bodyDiv w:val="1"/>
      <w:marLeft w:val="0"/>
      <w:marRight w:val="0"/>
      <w:marTop w:val="0"/>
      <w:marBottom w:val="0"/>
      <w:divBdr>
        <w:top w:val="none" w:sz="0" w:space="0" w:color="auto"/>
        <w:left w:val="none" w:sz="0" w:space="0" w:color="auto"/>
        <w:bottom w:val="none" w:sz="0" w:space="0" w:color="auto"/>
        <w:right w:val="none" w:sz="0" w:space="0" w:color="auto"/>
      </w:divBdr>
      <w:divsChild>
        <w:div w:id="645401530">
          <w:marLeft w:val="0"/>
          <w:marRight w:val="0"/>
          <w:marTop w:val="0"/>
          <w:marBottom w:val="0"/>
          <w:divBdr>
            <w:top w:val="none" w:sz="0" w:space="0" w:color="auto"/>
            <w:left w:val="none" w:sz="0" w:space="0" w:color="auto"/>
            <w:bottom w:val="none" w:sz="0" w:space="0" w:color="auto"/>
            <w:right w:val="none" w:sz="0" w:space="0" w:color="auto"/>
          </w:divBdr>
          <w:divsChild>
            <w:div w:id="519011181">
              <w:marLeft w:val="0"/>
              <w:marRight w:val="0"/>
              <w:marTop w:val="0"/>
              <w:marBottom w:val="0"/>
              <w:divBdr>
                <w:top w:val="none" w:sz="0" w:space="0" w:color="auto"/>
                <w:left w:val="none" w:sz="0" w:space="0" w:color="auto"/>
                <w:bottom w:val="none" w:sz="0" w:space="0" w:color="auto"/>
                <w:right w:val="none" w:sz="0" w:space="0" w:color="auto"/>
              </w:divBdr>
              <w:divsChild>
                <w:div w:id="17713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02890">
      <w:bodyDiv w:val="1"/>
      <w:marLeft w:val="0"/>
      <w:marRight w:val="0"/>
      <w:marTop w:val="0"/>
      <w:marBottom w:val="0"/>
      <w:divBdr>
        <w:top w:val="none" w:sz="0" w:space="0" w:color="auto"/>
        <w:left w:val="none" w:sz="0" w:space="0" w:color="auto"/>
        <w:bottom w:val="none" w:sz="0" w:space="0" w:color="auto"/>
        <w:right w:val="none" w:sz="0" w:space="0" w:color="auto"/>
      </w:divBdr>
      <w:divsChild>
        <w:div w:id="889076830">
          <w:marLeft w:val="0"/>
          <w:marRight w:val="0"/>
          <w:marTop w:val="0"/>
          <w:marBottom w:val="0"/>
          <w:divBdr>
            <w:top w:val="none" w:sz="0" w:space="0" w:color="auto"/>
            <w:left w:val="none" w:sz="0" w:space="0" w:color="auto"/>
            <w:bottom w:val="none" w:sz="0" w:space="0" w:color="auto"/>
            <w:right w:val="none" w:sz="0" w:space="0" w:color="auto"/>
          </w:divBdr>
          <w:divsChild>
            <w:div w:id="32579154">
              <w:marLeft w:val="0"/>
              <w:marRight w:val="0"/>
              <w:marTop w:val="0"/>
              <w:marBottom w:val="0"/>
              <w:divBdr>
                <w:top w:val="none" w:sz="0" w:space="0" w:color="auto"/>
                <w:left w:val="none" w:sz="0" w:space="0" w:color="auto"/>
                <w:bottom w:val="none" w:sz="0" w:space="0" w:color="auto"/>
                <w:right w:val="none" w:sz="0" w:space="0" w:color="auto"/>
              </w:divBdr>
              <w:divsChild>
                <w:div w:id="445152455">
                  <w:marLeft w:val="0"/>
                  <w:marRight w:val="0"/>
                  <w:marTop w:val="0"/>
                  <w:marBottom w:val="0"/>
                  <w:divBdr>
                    <w:top w:val="none" w:sz="0" w:space="0" w:color="auto"/>
                    <w:left w:val="none" w:sz="0" w:space="0" w:color="auto"/>
                    <w:bottom w:val="none" w:sz="0" w:space="0" w:color="auto"/>
                    <w:right w:val="none" w:sz="0" w:space="0" w:color="auto"/>
                  </w:divBdr>
                  <w:divsChild>
                    <w:div w:id="27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0027">
      <w:bodyDiv w:val="1"/>
      <w:marLeft w:val="0"/>
      <w:marRight w:val="0"/>
      <w:marTop w:val="0"/>
      <w:marBottom w:val="0"/>
      <w:divBdr>
        <w:top w:val="none" w:sz="0" w:space="0" w:color="auto"/>
        <w:left w:val="none" w:sz="0" w:space="0" w:color="auto"/>
        <w:bottom w:val="none" w:sz="0" w:space="0" w:color="auto"/>
        <w:right w:val="none" w:sz="0" w:space="0" w:color="auto"/>
      </w:divBdr>
    </w:div>
    <w:div w:id="2086030342">
      <w:bodyDiv w:val="1"/>
      <w:marLeft w:val="0"/>
      <w:marRight w:val="0"/>
      <w:marTop w:val="0"/>
      <w:marBottom w:val="0"/>
      <w:divBdr>
        <w:top w:val="none" w:sz="0" w:space="0" w:color="auto"/>
        <w:left w:val="none" w:sz="0" w:space="0" w:color="auto"/>
        <w:bottom w:val="none" w:sz="0" w:space="0" w:color="auto"/>
        <w:right w:val="none" w:sz="0" w:space="0" w:color="auto"/>
      </w:divBdr>
      <w:divsChild>
        <w:div w:id="1586499285">
          <w:marLeft w:val="0"/>
          <w:marRight w:val="0"/>
          <w:marTop w:val="0"/>
          <w:marBottom w:val="0"/>
          <w:divBdr>
            <w:top w:val="none" w:sz="0" w:space="0" w:color="auto"/>
            <w:left w:val="none" w:sz="0" w:space="0" w:color="auto"/>
            <w:bottom w:val="none" w:sz="0" w:space="0" w:color="auto"/>
            <w:right w:val="none" w:sz="0" w:space="0" w:color="auto"/>
          </w:divBdr>
          <w:divsChild>
            <w:div w:id="32463904">
              <w:marLeft w:val="0"/>
              <w:marRight w:val="0"/>
              <w:marTop w:val="0"/>
              <w:marBottom w:val="0"/>
              <w:divBdr>
                <w:top w:val="none" w:sz="0" w:space="0" w:color="auto"/>
                <w:left w:val="none" w:sz="0" w:space="0" w:color="auto"/>
                <w:bottom w:val="none" w:sz="0" w:space="0" w:color="auto"/>
                <w:right w:val="none" w:sz="0" w:space="0" w:color="auto"/>
              </w:divBdr>
              <w:divsChild>
                <w:div w:id="5957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ADA0-C959-0844-BE70-38F75FB0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20585</Words>
  <Characters>117335</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2</cp:revision>
  <dcterms:created xsi:type="dcterms:W3CDTF">2022-03-11T18:34:00Z</dcterms:created>
  <dcterms:modified xsi:type="dcterms:W3CDTF">2022-03-11T18:34:00Z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http://www.zotero.org/styles/methods-in-ecology-and-evolution</vt:lpwstr>
  </property>
  <property fmtid="{D5CDD505-2E9C-101B-9397-08002B2CF9AE}" pid="17" name="Mendeley Recent Style Name 7_1">
    <vt:lpwstr>Methods in Ecology and Evolution</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cd7c4ad1-acf5-3117-a24e-e4dc812ff9b7</vt:lpwstr>
  </property>
  <property fmtid="{D5CDD505-2E9C-101B-9397-08002B2CF9AE}" pid="24" name="Mendeley Citation Style_1">
    <vt:lpwstr>http://www.zotero.org/styles/ecology</vt:lpwstr>
  </property>
</Properties>
</file>