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B4D1B" w14:textId="308B2338" w:rsidR="00EE3D1B" w:rsidRPr="00EE3D1B" w:rsidRDefault="00D45988">
      <w:pPr>
        <w:rPr>
          <w:rFonts w:ascii="Times New Roman" w:hAnsi="Times New Roman" w:cs="Times New Roman"/>
          <w:b/>
          <w:bCs/>
          <w:i/>
          <w:iCs/>
          <w:color w:val="000000" w:themeColor="text1"/>
          <w:u w:val="single"/>
        </w:rPr>
      </w:pPr>
      <w:r w:rsidRPr="00EE3D1B">
        <w:rPr>
          <w:rFonts w:ascii="Times New Roman" w:hAnsi="Times New Roman" w:cs="Times New Roman"/>
          <w:b/>
          <w:bCs/>
          <w:i/>
          <w:iCs/>
          <w:color w:val="000000" w:themeColor="text1"/>
          <w:u w:val="single"/>
        </w:rPr>
        <w:t>COBP Analysis Plan</w:t>
      </w:r>
    </w:p>
    <w:p w14:paraId="17419BF0" w14:textId="75B916CD" w:rsidR="00D45988" w:rsidRPr="00EE3D1B" w:rsidRDefault="00EE3D1B">
      <w:pPr>
        <w:rPr>
          <w:rFonts w:ascii="Times New Roman" w:hAnsi="Times New Roman" w:cs="Times New Roman"/>
          <w:b/>
          <w:bCs/>
          <w:color w:val="000000" w:themeColor="text1"/>
        </w:rPr>
      </w:pPr>
      <w:r w:rsidRPr="00EE3D1B">
        <w:rPr>
          <w:rFonts w:ascii="Times New Roman" w:hAnsi="Times New Roman" w:cs="Times New Roman"/>
          <w:b/>
          <w:bCs/>
          <w:i/>
          <w:iCs/>
          <w:color w:val="000000" w:themeColor="text1"/>
        </w:rPr>
        <w:t>Mechanisms of maintaining rare populations</w:t>
      </w:r>
      <w:r w:rsidR="000D46BA">
        <w:rPr>
          <w:rFonts w:ascii="Times New Roman" w:hAnsi="Times New Roman" w:cs="Times New Roman"/>
          <w:b/>
          <w:bCs/>
          <w:i/>
          <w:iCs/>
          <w:color w:val="000000" w:themeColor="text1"/>
        </w:rPr>
        <w:t xml:space="preserve"> and corresponding tests</w:t>
      </w:r>
      <w:r w:rsidRPr="00EE3D1B">
        <w:rPr>
          <w:rFonts w:ascii="Times New Roman" w:hAnsi="Times New Roman" w:cs="Times New Roman"/>
          <w:b/>
          <w:bCs/>
          <w:i/>
          <w:iCs/>
          <w:color w:val="000000" w:themeColor="text1"/>
        </w:rPr>
        <w:t xml:space="preserve"> (Dibner, et al. 2019)</w:t>
      </w:r>
      <w:r w:rsidRPr="00EE3D1B">
        <w:rPr>
          <w:rFonts w:ascii="Times New Roman" w:hAnsi="Times New Roman" w:cs="Times New Roman"/>
          <w:b/>
          <w:bCs/>
          <w:color w:val="000000" w:themeColor="text1"/>
        </w:rPr>
        <w:t xml:space="preserve"> : </w:t>
      </w:r>
    </w:p>
    <w:p w14:paraId="3CDF0D10" w14:textId="17EC1E69" w:rsidR="00EE3D1B" w:rsidRDefault="00EE3D1B" w:rsidP="00EE3D1B">
      <w:pPr>
        <w:pStyle w:val="ListParagraph"/>
        <w:numPr>
          <w:ilvl w:val="0"/>
          <w:numId w:val="2"/>
        </w:numPr>
        <w:rPr>
          <w:rFonts w:ascii="Times New Roman" w:hAnsi="Times New Roman" w:cs="Times New Roman"/>
          <w:color w:val="000000" w:themeColor="text1"/>
        </w:rPr>
      </w:pPr>
      <w:r w:rsidRPr="00EE3D1B">
        <w:rPr>
          <w:rFonts w:ascii="Times New Roman" w:hAnsi="Times New Roman" w:cs="Times New Roman"/>
          <w:color w:val="000000" w:themeColor="text1"/>
        </w:rPr>
        <w:t>Negative density dependence</w:t>
      </w:r>
    </w:p>
    <w:p w14:paraId="58575ADD" w14:textId="3A645741" w:rsidR="00387977" w:rsidRPr="00EE3D1B" w:rsidRDefault="00387977" w:rsidP="00387977">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Compare models of lambda w/ and w/out density terms</w:t>
      </w:r>
    </w:p>
    <w:p w14:paraId="31836A0D" w14:textId="6454DCA4" w:rsidR="00EE3D1B" w:rsidRDefault="00EE3D1B" w:rsidP="00EE3D1B">
      <w:pPr>
        <w:pStyle w:val="ListParagraph"/>
        <w:numPr>
          <w:ilvl w:val="0"/>
          <w:numId w:val="2"/>
        </w:numPr>
        <w:rPr>
          <w:rFonts w:ascii="Times New Roman" w:hAnsi="Times New Roman" w:cs="Times New Roman"/>
          <w:color w:val="000000" w:themeColor="text1"/>
        </w:rPr>
      </w:pPr>
      <w:r w:rsidRPr="00EE3D1B">
        <w:rPr>
          <w:rFonts w:ascii="Times New Roman" w:hAnsi="Times New Roman" w:cs="Times New Roman"/>
          <w:color w:val="000000" w:themeColor="text1"/>
        </w:rPr>
        <w:t>Demographic compensation (different vital rates have opposing responses to environmental variation)</w:t>
      </w:r>
    </w:p>
    <w:p w14:paraId="26A15ED0" w14:textId="7AA3014A" w:rsidR="005C1629" w:rsidRDefault="005C1629" w:rsidP="005C1629">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Used correlations between the coefficients for year effects in each vital rate function (from the IPMs)(for vital rates that had significant temporal variation). Negative correlations indicate demographic compensation (</w:t>
      </w:r>
      <w:proofErr w:type="spellStart"/>
      <w:r>
        <w:rPr>
          <w:rFonts w:ascii="Times New Roman" w:hAnsi="Times New Roman" w:cs="Times New Roman"/>
          <w:color w:val="000000" w:themeColor="text1"/>
        </w:rPr>
        <w:t>Villellas</w:t>
      </w:r>
      <w:proofErr w:type="spellEnd"/>
      <w:r>
        <w:rPr>
          <w:rFonts w:ascii="Times New Roman" w:hAnsi="Times New Roman" w:cs="Times New Roman"/>
          <w:color w:val="000000" w:themeColor="text1"/>
        </w:rPr>
        <w:t xml:space="preserve"> et al. 2015)</w:t>
      </w:r>
    </w:p>
    <w:p w14:paraId="5A756B3E" w14:textId="0E5DB240" w:rsidR="005C1629" w:rsidRDefault="005C1629" w:rsidP="005C1629">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Also looked for spatial demographic compensation by comparing coefficients for plot effects for vital rate functions that had significant spatial variation.</w:t>
      </w:r>
    </w:p>
    <w:p w14:paraId="3B8BED29" w14:textId="29C1EAEB" w:rsidR="00EB2BE8" w:rsidRPr="00EE3D1B" w:rsidRDefault="00EB2BE8" w:rsidP="005C1629">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Tested the importance of vital rate buffering and temporal demographic compensation (of each vital rate!) for pop. Growth using randomization procedures to simulate 500 stochastic growth trajectories over 100 </w:t>
      </w:r>
      <w:proofErr w:type="spellStart"/>
      <w:r>
        <w:rPr>
          <w:rFonts w:ascii="Times New Roman" w:hAnsi="Times New Roman" w:cs="Times New Roman"/>
          <w:color w:val="000000" w:themeColor="text1"/>
        </w:rPr>
        <w:t>yrs</w:t>
      </w:r>
      <w:proofErr w:type="spellEnd"/>
      <w:r>
        <w:rPr>
          <w:rFonts w:ascii="Times New Roman" w:hAnsi="Times New Roman" w:cs="Times New Roman"/>
          <w:color w:val="000000" w:themeColor="text1"/>
        </w:rPr>
        <w:t xml:space="preserve"> without one or both of these patterns. Compared these stochastic growth rate estimates (estimated for each transect) with point-estimates of long-term stochastic growth rates that include demographic compensation and vital rate buffering.</w:t>
      </w:r>
    </w:p>
    <w:p w14:paraId="640E9FE1" w14:textId="65173821" w:rsidR="00EE3D1B" w:rsidRDefault="00EE3D1B" w:rsidP="00EE3D1B">
      <w:pPr>
        <w:pStyle w:val="ListParagraph"/>
        <w:numPr>
          <w:ilvl w:val="0"/>
          <w:numId w:val="2"/>
        </w:numPr>
        <w:rPr>
          <w:rFonts w:ascii="Times New Roman" w:hAnsi="Times New Roman" w:cs="Times New Roman"/>
          <w:color w:val="000000" w:themeColor="text1"/>
        </w:rPr>
      </w:pPr>
      <w:r w:rsidRPr="00EE3D1B">
        <w:rPr>
          <w:rFonts w:ascii="Times New Roman" w:hAnsi="Times New Roman" w:cs="Times New Roman"/>
          <w:color w:val="000000" w:themeColor="text1"/>
        </w:rPr>
        <w:t>Vital rate buffering (variability of demographic rates is inversely related to th</w:t>
      </w:r>
      <w:r w:rsidR="000D46BA">
        <w:rPr>
          <w:rFonts w:ascii="Times New Roman" w:hAnsi="Times New Roman" w:cs="Times New Roman"/>
          <w:color w:val="000000" w:themeColor="text1"/>
        </w:rPr>
        <w:t>e</w:t>
      </w:r>
      <w:r w:rsidRPr="00EE3D1B">
        <w:rPr>
          <w:rFonts w:ascii="Times New Roman" w:hAnsi="Times New Roman" w:cs="Times New Roman"/>
          <w:color w:val="000000" w:themeColor="text1"/>
        </w:rPr>
        <w:t>ir importance for determining pop. Growth rate)</w:t>
      </w:r>
    </w:p>
    <w:p w14:paraId="3A428DF4" w14:textId="439B579A" w:rsidR="000D46BA" w:rsidRDefault="000D46BA" w:rsidP="000D46BA">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Compare vital rate variability to their elasticity values (Pfister 1998;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xml:space="preserve"> 2004)</w:t>
      </w:r>
    </w:p>
    <w:p w14:paraId="397C7C1F" w14:textId="19177153" w:rsidR="000D46BA" w:rsidRDefault="000D46BA" w:rsidP="000D46BA">
      <w:pPr>
        <w:pStyle w:val="ListParagraph"/>
        <w:numPr>
          <w:ilvl w:val="2"/>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Variability: coefficient of variation (CV) for the mean and variance of each vital rate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2004)</w:t>
      </w:r>
    </w:p>
    <w:p w14:paraId="336348E8" w14:textId="5D5E435B" w:rsidR="000F42F3" w:rsidRPr="00EE3D1B" w:rsidRDefault="000F42F3" w:rsidP="000D46BA">
      <w:pPr>
        <w:pStyle w:val="ListParagraph"/>
        <w:numPr>
          <w:ilvl w:val="2"/>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Used the ‘standard perturbation approach’ to estimate elasticity values (Caswell 2001,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xml:space="preserve"> 2002)</w:t>
      </w:r>
    </w:p>
    <w:p w14:paraId="17C61ADF" w14:textId="4D7B05DC" w:rsidR="00EE3D1B" w:rsidRPr="00287D27" w:rsidRDefault="00EE3D1B" w:rsidP="00EE3D1B">
      <w:pPr>
        <w:pStyle w:val="ListParagraph"/>
        <w:numPr>
          <w:ilvl w:val="0"/>
          <w:numId w:val="2"/>
        </w:numPr>
        <w:rPr>
          <w:rFonts w:ascii="Times New Roman" w:hAnsi="Times New Roman" w:cs="Times New Roman"/>
          <w:color w:val="000000" w:themeColor="text1"/>
        </w:rPr>
      </w:pPr>
      <w:r w:rsidRPr="00EE3D1B">
        <w:rPr>
          <w:rFonts w:ascii="Times New Roman" w:hAnsi="Times New Roman" w:cs="Times New Roman"/>
          <w:color w:val="000000" w:themeColor="text1"/>
        </w:rPr>
        <w:t>Asynchronous responses to environmental variation across subpopulations</w:t>
      </w:r>
    </w:p>
    <w:p w14:paraId="039C9846" w14:textId="36E78642" w:rsidR="00287D27" w:rsidRPr="00287D27" w:rsidRDefault="00287D27" w:rsidP="00287D27">
      <w:pPr>
        <w:pStyle w:val="ListParagraph"/>
        <w:numPr>
          <w:ilvl w:val="1"/>
          <w:numId w:val="2"/>
        </w:numPr>
        <w:rPr>
          <w:rFonts w:ascii="Times New Roman" w:hAnsi="Times New Roman" w:cs="Times New Roman"/>
          <w:color w:val="000000" w:themeColor="text1"/>
        </w:rPr>
      </w:pPr>
      <w:r w:rsidRPr="00287D27">
        <w:rPr>
          <w:rFonts w:ascii="Times New Roman" w:hAnsi="Times New Roman" w:cs="Times New Roman"/>
          <w:color w:val="000000" w:themeColor="text1"/>
        </w:rPr>
        <w:t>Mantel tests; population-level synchrony index (</w:t>
      </w:r>
      <w:proofErr w:type="spellStart"/>
      <w:r w:rsidRPr="00287D27">
        <w:rPr>
          <w:rFonts w:ascii="Times New Roman" w:hAnsi="Times New Roman" w:cs="Times New Roman"/>
          <w:color w:val="000000" w:themeColor="text1"/>
        </w:rPr>
        <w:t>Loreau</w:t>
      </w:r>
      <w:proofErr w:type="spellEnd"/>
      <w:r w:rsidRPr="00287D27">
        <w:rPr>
          <w:rFonts w:ascii="Times New Roman" w:hAnsi="Times New Roman" w:cs="Times New Roman"/>
          <w:color w:val="000000" w:themeColor="text1"/>
        </w:rPr>
        <w:t xml:space="preserve"> and de </w:t>
      </w:r>
      <w:proofErr w:type="spellStart"/>
      <w:r w:rsidRPr="00287D27">
        <w:rPr>
          <w:rFonts w:ascii="Times New Roman" w:hAnsi="Times New Roman" w:cs="Times New Roman"/>
          <w:color w:val="000000" w:themeColor="text1"/>
        </w:rPr>
        <w:t>Mazancourt</w:t>
      </w:r>
      <w:proofErr w:type="spellEnd"/>
      <w:r w:rsidRPr="00287D27">
        <w:rPr>
          <w:rFonts w:ascii="Times New Roman" w:hAnsi="Times New Roman" w:cs="Times New Roman"/>
          <w:color w:val="000000" w:themeColor="text1"/>
        </w:rPr>
        <w:t xml:space="preserve"> 2008, Thibaut and Connolly 2013)</w:t>
      </w:r>
      <w:r>
        <w:rPr>
          <w:rFonts w:ascii="Times New Roman" w:hAnsi="Times New Roman" w:cs="Times New Roman"/>
          <w:color w:val="000000" w:themeColor="text1"/>
        </w:rPr>
        <w:t>;</w:t>
      </w:r>
      <w:r w:rsidRPr="00287D27">
        <w:rPr>
          <w:rFonts w:ascii="Times New Roman" w:hAnsi="Times New Roman" w:cs="Times New Roman"/>
          <w:color w:val="000000" w:themeColor="text1"/>
        </w:rPr>
        <w:t xml:space="preserve"> and the mean-variance portfolio effect</w:t>
      </w:r>
      <w:r>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(Anderson et al. 2013).</w:t>
      </w:r>
    </w:p>
    <w:p w14:paraId="07520FB1" w14:textId="495BC897" w:rsidR="00EE3D1B" w:rsidRDefault="00EE3D1B" w:rsidP="00EE3D1B">
      <w:pPr>
        <w:pStyle w:val="ListParagraph"/>
        <w:numPr>
          <w:ilvl w:val="0"/>
          <w:numId w:val="2"/>
        </w:numPr>
        <w:rPr>
          <w:rFonts w:ascii="Times New Roman" w:hAnsi="Times New Roman" w:cs="Times New Roman"/>
          <w:color w:val="000000" w:themeColor="text1"/>
        </w:rPr>
      </w:pPr>
      <w:r w:rsidRPr="00EE3D1B">
        <w:rPr>
          <w:rFonts w:ascii="Times New Roman" w:hAnsi="Times New Roman" w:cs="Times New Roman"/>
          <w:color w:val="000000" w:themeColor="text1"/>
        </w:rPr>
        <w:t>Fine-scale source-sink dynamics</w:t>
      </w:r>
    </w:p>
    <w:p w14:paraId="612B3427" w14:textId="1E59953A" w:rsidR="001B3CD6" w:rsidRDefault="001B3CD6" w:rsidP="001B3CD6">
      <w:pPr>
        <w:pStyle w:val="ListParagraph"/>
        <w:numPr>
          <w:ilvl w:val="1"/>
          <w:numId w:val="2"/>
        </w:numPr>
        <w:rPr>
          <w:rFonts w:ascii="Times New Roman" w:hAnsi="Times New Roman" w:cs="Times New Roman"/>
          <w:color w:val="000000" w:themeColor="text1"/>
        </w:rPr>
      </w:pPr>
      <w:r w:rsidRPr="00EE3D1B">
        <w:rPr>
          <w:rFonts w:ascii="Times New Roman" w:hAnsi="Times New Roman" w:cs="Times New Roman"/>
          <w:color w:val="000000" w:themeColor="text1"/>
        </w:rPr>
        <w:t xml:space="preserve">Can’t directly measure (no seed movement data), but </w:t>
      </w:r>
      <w:r>
        <w:rPr>
          <w:rFonts w:ascii="Times New Roman" w:hAnsi="Times New Roman" w:cs="Times New Roman"/>
          <w:color w:val="000000" w:themeColor="text1"/>
        </w:rPr>
        <w:t xml:space="preserve">plot-level </w:t>
      </w:r>
      <w:r w:rsidRPr="00EE3D1B">
        <w:rPr>
          <w:rFonts w:ascii="Times New Roman" w:hAnsi="Times New Roman" w:cs="Times New Roman"/>
          <w:color w:val="000000" w:themeColor="text1"/>
        </w:rPr>
        <w:t>population growth rates indicate whether or not there are consistent spatial differences in average population performance, a necessary pre-condition for source–sink dynamics.</w:t>
      </w:r>
    </w:p>
    <w:p w14:paraId="6DBE846B" w14:textId="77777777" w:rsidR="000D46BA" w:rsidRPr="000D46BA" w:rsidRDefault="000D46BA" w:rsidP="000D46BA">
      <w:pPr>
        <w:rPr>
          <w:rFonts w:ascii="Times New Roman" w:hAnsi="Times New Roman" w:cs="Times New Roman"/>
          <w:color w:val="000000" w:themeColor="text1"/>
        </w:rPr>
      </w:pPr>
    </w:p>
    <w:p w14:paraId="7D985D83" w14:textId="59485EA7" w:rsidR="00EE3D1B" w:rsidRPr="00EE3D1B" w:rsidRDefault="00EE3D1B" w:rsidP="00EE3D1B">
      <w:pPr>
        <w:ind w:left="360" w:hanging="360"/>
        <w:rPr>
          <w:rFonts w:ascii="Times New Roman" w:hAnsi="Times New Roman" w:cs="Times New Roman"/>
          <w:b/>
          <w:bCs/>
          <w:color w:val="000000" w:themeColor="text1"/>
        </w:rPr>
      </w:pPr>
    </w:p>
    <w:p w14:paraId="48641472" w14:textId="7EBC78B5" w:rsidR="00EE3D1B" w:rsidRPr="00EE3D1B" w:rsidRDefault="00EE3D1B" w:rsidP="00EE3D1B">
      <w:pPr>
        <w:ind w:left="360" w:hanging="360"/>
        <w:rPr>
          <w:rFonts w:ascii="Times New Roman" w:hAnsi="Times New Roman" w:cs="Times New Roman"/>
          <w:b/>
          <w:bCs/>
          <w:i/>
          <w:iCs/>
          <w:color w:val="000000" w:themeColor="text1"/>
        </w:rPr>
      </w:pPr>
      <w:r w:rsidRPr="00EE3D1B">
        <w:rPr>
          <w:rFonts w:ascii="Times New Roman" w:hAnsi="Times New Roman" w:cs="Times New Roman"/>
          <w:b/>
          <w:bCs/>
          <w:i/>
          <w:iCs/>
          <w:color w:val="000000" w:themeColor="text1"/>
        </w:rPr>
        <w:t>Parameters calculated in Dibner, et al. 2019</w:t>
      </w:r>
    </w:p>
    <w:p w14:paraId="0B806641" w14:textId="728741B9" w:rsidR="00D45988" w:rsidRPr="00EE3D1B" w:rsidRDefault="007626F2" w:rsidP="00D45988">
      <w:pPr>
        <w:pStyle w:val="ListParagraph"/>
        <w:numPr>
          <w:ilvl w:val="0"/>
          <w:numId w:val="1"/>
        </w:numPr>
        <w:rPr>
          <w:rFonts w:ascii="Times New Roman" w:hAnsi="Times New Roman" w:cs="Times New Roman"/>
          <w:color w:val="000000" w:themeColor="text1"/>
        </w:rPr>
      </w:pPr>
      <w:r w:rsidRPr="00EE3D1B">
        <w:rPr>
          <w:rFonts w:ascii="Times New Roman" w:hAnsi="Times New Roman" w:cs="Times New Roman"/>
          <w:color w:val="000000" w:themeColor="text1"/>
        </w:rPr>
        <w:t>Population growth rates</w:t>
      </w:r>
    </w:p>
    <w:p w14:paraId="07AFB9B1" w14:textId="2E483B62" w:rsidR="007626F2" w:rsidRPr="00EE3D1B" w:rsidRDefault="007626F2" w:rsidP="007626F2">
      <w:pPr>
        <w:pStyle w:val="ListParagraph"/>
        <w:numPr>
          <w:ilvl w:val="1"/>
          <w:numId w:val="1"/>
        </w:numPr>
        <w:rPr>
          <w:rFonts w:ascii="Times New Roman" w:hAnsi="Times New Roman" w:cs="Times New Roman"/>
          <w:b/>
          <w:bCs/>
          <w:color w:val="000000" w:themeColor="text1"/>
        </w:rPr>
      </w:pPr>
      <w:r w:rsidRPr="00EE3D1B">
        <w:rPr>
          <w:rFonts w:ascii="Times New Roman" w:hAnsi="Times New Roman" w:cs="Times New Roman"/>
          <w:b/>
          <w:bCs/>
          <w:color w:val="000000" w:themeColor="text1"/>
        </w:rPr>
        <w:t>Plot-level</w:t>
      </w:r>
      <w:r w:rsidR="00EE3D1B" w:rsidRPr="00EE3D1B">
        <w:rPr>
          <w:rFonts w:ascii="Times New Roman" w:hAnsi="Times New Roman" w:cs="Times New Roman"/>
          <w:b/>
          <w:bCs/>
          <w:color w:val="000000" w:themeColor="text1"/>
        </w:rPr>
        <w:t xml:space="preserve"> log(</w:t>
      </w:r>
      <m:oMath>
        <m:r>
          <m:rPr>
            <m:sty m:val="bi"/>
          </m:rPr>
          <w:rPr>
            <w:rFonts w:ascii="Cambria Math" w:hAnsi="Cambria Math" w:cs="Times New Roman"/>
            <w:color w:val="000000" w:themeColor="text1"/>
          </w:rPr>
          <m:t>λ</m:t>
        </m:r>
      </m:oMath>
      <w:r w:rsidR="00EE3D1B" w:rsidRPr="00EE3D1B">
        <w:rPr>
          <w:rFonts w:ascii="Times New Roman" w:hAnsi="Times New Roman" w:cs="Times New Roman"/>
          <w:b/>
          <w:bCs/>
          <w:i/>
          <w:iCs/>
          <w:color w:val="000000" w:themeColor="text1"/>
          <w:vertAlign w:val="subscript"/>
        </w:rPr>
        <w:t>t</w:t>
      </w:r>
      <w:r w:rsidR="00EE3D1B" w:rsidRPr="00EE3D1B">
        <w:rPr>
          <w:rFonts w:ascii="Times New Roman" w:hAnsi="Times New Roman" w:cs="Times New Roman"/>
          <w:b/>
          <w:bCs/>
          <w:color w:val="000000" w:themeColor="text1"/>
        </w:rPr>
        <w:t>)</w:t>
      </w:r>
    </w:p>
    <w:p w14:paraId="5E74B62C" w14:textId="3A12F4B7" w:rsidR="007626F2" w:rsidRPr="00EE3D1B" w:rsidRDefault="007626F2" w:rsidP="007626F2">
      <w:pPr>
        <w:pStyle w:val="ListParagraph"/>
        <w:numPr>
          <w:ilvl w:val="1"/>
          <w:numId w:val="1"/>
        </w:numPr>
        <w:rPr>
          <w:rFonts w:ascii="Times New Roman" w:hAnsi="Times New Roman" w:cs="Times New Roman"/>
          <w:b/>
          <w:bCs/>
          <w:color w:val="000000" w:themeColor="text1"/>
        </w:rPr>
      </w:pPr>
      <w:r w:rsidRPr="00EE3D1B">
        <w:rPr>
          <w:rFonts w:ascii="Times New Roman" w:hAnsi="Times New Roman" w:cs="Times New Roman"/>
          <w:b/>
          <w:bCs/>
          <w:color w:val="000000" w:themeColor="text1"/>
        </w:rPr>
        <w:t>Entire population</w:t>
      </w:r>
      <w:r w:rsidR="00EE3D1B" w:rsidRPr="00EE3D1B">
        <w:rPr>
          <w:rFonts w:ascii="Times New Roman" w:hAnsi="Times New Roman" w:cs="Times New Roman"/>
          <w:b/>
          <w:bCs/>
          <w:color w:val="000000" w:themeColor="text1"/>
        </w:rPr>
        <w:t xml:space="preserve"> log(</w:t>
      </w:r>
      <m:oMath>
        <m:r>
          <m:rPr>
            <m:sty m:val="bi"/>
          </m:rPr>
          <w:rPr>
            <w:rFonts w:ascii="Cambria Math" w:hAnsi="Cambria Math" w:cs="Times New Roman"/>
            <w:color w:val="000000" w:themeColor="text1"/>
          </w:rPr>
          <m:t>λ</m:t>
        </m:r>
      </m:oMath>
      <w:r w:rsidR="00EE3D1B" w:rsidRPr="00EE3D1B">
        <w:rPr>
          <w:rFonts w:ascii="Times New Roman" w:hAnsi="Times New Roman" w:cs="Times New Roman"/>
          <w:b/>
          <w:bCs/>
          <w:i/>
          <w:iCs/>
          <w:color w:val="000000" w:themeColor="text1"/>
          <w:vertAlign w:val="subscript"/>
        </w:rPr>
        <w:t>t</w:t>
      </w:r>
      <w:r w:rsidR="00EE3D1B" w:rsidRPr="00EE3D1B">
        <w:rPr>
          <w:rFonts w:ascii="Times New Roman" w:hAnsi="Times New Roman" w:cs="Times New Roman"/>
          <w:b/>
          <w:bCs/>
          <w:color w:val="000000" w:themeColor="text1"/>
        </w:rPr>
        <w:t>)</w:t>
      </w:r>
    </w:p>
    <w:p w14:paraId="1EC5A116" w14:textId="77777777" w:rsidR="006846F4" w:rsidRDefault="004A5E6A" w:rsidP="006846F4">
      <w:pPr>
        <w:pStyle w:val="ListParagraph"/>
        <w:numPr>
          <w:ilvl w:val="1"/>
          <w:numId w:val="1"/>
        </w:numPr>
        <w:rPr>
          <w:rFonts w:ascii="Times New Roman" w:hAnsi="Times New Roman" w:cs="Times New Roman"/>
          <w:color w:val="000000" w:themeColor="text1"/>
        </w:rPr>
      </w:pPr>
      <w:r w:rsidRPr="00EE3D1B">
        <w:rPr>
          <w:rFonts w:ascii="Calibri" w:hAnsi="Calibri" w:cs="Calibri"/>
          <w:color w:val="000000" w:themeColor="text1"/>
        </w:rPr>
        <w:t>﻿</w:t>
      </w:r>
      <w:r w:rsidRPr="00EE3D1B">
        <w:rPr>
          <w:rFonts w:ascii="Times New Roman" w:hAnsi="Times New Roman" w:cs="Times New Roman"/>
          <w:color w:val="000000" w:themeColor="text1"/>
        </w:rPr>
        <w:t xml:space="preserve">(?) To assess synchrony among populations occurring in different patches, we </w:t>
      </w:r>
      <w:r w:rsidRPr="00EE3D1B">
        <w:rPr>
          <w:rFonts w:ascii="Times New Roman" w:hAnsi="Times New Roman" w:cs="Times New Roman"/>
          <w:b/>
          <w:bCs/>
          <w:color w:val="000000" w:themeColor="text1"/>
        </w:rPr>
        <w:t>examined pairwise Pearson correlations in log(</w:t>
      </w:r>
      <m:oMath>
        <m:r>
          <m:rPr>
            <m:sty m:val="bi"/>
          </m:rPr>
          <w:rPr>
            <w:rFonts w:ascii="Cambria Math" w:hAnsi="Cambria Math" w:cs="Times New Roman"/>
            <w:color w:val="000000" w:themeColor="text1"/>
          </w:rPr>
          <m:t>λ</m:t>
        </m:r>
      </m:oMath>
      <w:r w:rsidRPr="00EE3D1B">
        <w:rPr>
          <w:rFonts w:ascii="Times New Roman" w:hAnsi="Times New Roman" w:cs="Times New Roman"/>
          <w:b/>
          <w:bCs/>
          <w:i/>
          <w:iCs/>
          <w:color w:val="000000" w:themeColor="text1"/>
          <w:vertAlign w:val="subscript"/>
        </w:rPr>
        <w:t>t</w:t>
      </w:r>
      <w:r w:rsidRPr="00EE3D1B">
        <w:rPr>
          <w:rFonts w:ascii="Times New Roman" w:hAnsi="Times New Roman" w:cs="Times New Roman"/>
          <w:b/>
          <w:bCs/>
          <w:color w:val="000000" w:themeColor="text1"/>
        </w:rPr>
        <w:t>) among plots</w:t>
      </w:r>
      <w:r w:rsidRPr="00EE3D1B">
        <w:rPr>
          <w:rFonts w:ascii="Times New Roman" w:hAnsi="Times New Roman" w:cs="Times New Roman"/>
          <w:color w:val="000000" w:themeColor="text1"/>
        </w:rPr>
        <w:t xml:space="preserve">. We </w:t>
      </w:r>
      <w:r w:rsidRPr="00EE3D1B">
        <w:rPr>
          <w:rFonts w:ascii="Times New Roman" w:hAnsi="Times New Roman" w:cs="Times New Roman"/>
          <w:b/>
          <w:bCs/>
          <w:color w:val="000000" w:themeColor="text1"/>
        </w:rPr>
        <w:t>tested for relationships between different metrics of plot quality</w:t>
      </w:r>
      <w:r w:rsidRPr="00EE3D1B">
        <w:rPr>
          <w:rFonts w:ascii="Times New Roman" w:hAnsi="Times New Roman" w:cs="Times New Roman"/>
          <w:color w:val="000000" w:themeColor="text1"/>
        </w:rPr>
        <w:t xml:space="preserve">, including mean abundance (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N</m:t>
            </m:r>
          </m:e>
        </m:acc>
      </m:oMath>
      <w:r w:rsidRPr="00EE3D1B">
        <w:rPr>
          <w:rFonts w:ascii="Times New Roman" w:hAnsi="Times New Roman" w:cs="Times New Roman"/>
          <w:color w:val="000000" w:themeColor="text1"/>
        </w:rPr>
        <w:t xml:space="preserve">), mean growth rate, </w:t>
      </w:r>
      <m:oMath>
        <m:acc>
          <m:accPr>
            <m:chr m:val="̅"/>
            <m:ctrlPr>
              <w:rPr>
                <w:rFonts w:ascii="Cambria Math" w:hAnsi="Cambria Math" w:cs="Times New Roman"/>
                <w:color w:val="000000" w:themeColor="text1"/>
              </w:rPr>
            </m:ctrlPr>
          </m:accPr>
          <m:e>
            <m:r>
              <w:rPr>
                <w:rFonts w:ascii="Cambria Math" w:hAnsi="Cambria Math" w:cs="Times New Roman"/>
                <w:color w:val="000000" w:themeColor="text1"/>
              </w:rPr>
              <m:t>log(</m:t>
            </m:r>
            <m:sSub>
              <m:sSubPr>
                <m:ctrlPr>
                  <w:rPr>
                    <w:rFonts w:ascii="Cambria Math" w:hAnsi="Cambria Math" w:cs="Times New Roman"/>
                    <w:i/>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t</m:t>
                </m:r>
              </m:sub>
            </m:sSub>
            <m:r>
              <w:rPr>
                <w:rFonts w:ascii="Cambria Math" w:hAnsi="Cambria Math" w:cs="Times New Roman"/>
                <w:color w:val="000000" w:themeColor="text1"/>
              </w:rPr>
              <m:t>)</m:t>
            </m:r>
          </m:e>
        </m:acc>
      </m:oMath>
      <w:r w:rsidRPr="00EE3D1B">
        <w:rPr>
          <w:rFonts w:ascii="Times New Roman" w:hAnsi="Times New Roman" w:cs="Times New Roman"/>
          <w:color w:val="000000" w:themeColor="text1"/>
        </w:rPr>
        <w:t xml:space="preserve">, and the mean correlation coefficient in </w:t>
      </w:r>
      <w:r w:rsidR="002B7CA7" w:rsidRPr="00EE3D1B">
        <w:rPr>
          <w:rFonts w:ascii="Times New Roman" w:hAnsi="Times New Roman" w:cs="Times New Roman"/>
          <w:color w:val="000000" w:themeColor="text1"/>
        </w:rPr>
        <w:t>log(</w:t>
      </w:r>
      <m:oMath>
        <m:r>
          <w:rPr>
            <w:rFonts w:ascii="Cambria Math" w:hAnsi="Cambria Math" w:cs="Times New Roman"/>
            <w:color w:val="000000" w:themeColor="text1"/>
          </w:rPr>
          <m:t>λ</m:t>
        </m:r>
      </m:oMath>
      <w:r w:rsidR="002B7CA7" w:rsidRPr="00EE3D1B">
        <w:rPr>
          <w:rFonts w:ascii="Times New Roman" w:hAnsi="Times New Roman" w:cs="Times New Roman"/>
          <w:i/>
          <w:iCs/>
          <w:color w:val="000000" w:themeColor="text1"/>
          <w:vertAlign w:val="subscript"/>
        </w:rPr>
        <w:t>t</w:t>
      </w:r>
      <w:r w:rsidR="002B7CA7"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 xml:space="preserve">of a plot with all other plots weighted by each plot’s mean abundance (hereafter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ρ</m:t>
            </m:r>
          </m:e>
        </m:acc>
      </m:oMath>
      <w:r w:rsidRPr="00EE3D1B">
        <w:rPr>
          <w:rFonts w:ascii="Times New Roman" w:hAnsi="Times New Roman" w:cs="Times New Roman"/>
          <w:color w:val="000000" w:themeColor="text1"/>
        </w:rPr>
        <w:t>).</w:t>
      </w:r>
    </w:p>
    <w:p w14:paraId="28EF8082" w14:textId="5A84412F" w:rsidR="006846F4" w:rsidRPr="006846F4" w:rsidRDefault="006846F4" w:rsidP="006846F4">
      <w:pPr>
        <w:pStyle w:val="ListParagraph"/>
        <w:numPr>
          <w:ilvl w:val="1"/>
          <w:numId w:val="1"/>
        </w:numPr>
        <w:rPr>
          <w:rFonts w:ascii="Times New Roman" w:hAnsi="Times New Roman" w:cs="Times New Roman"/>
          <w:color w:val="2F5496" w:themeColor="accent1" w:themeShade="BF"/>
        </w:rPr>
      </w:pPr>
      <w:r w:rsidRPr="006846F4">
        <w:rPr>
          <w:rFonts w:ascii="Times New Roman" w:hAnsi="Times New Roman" w:cs="Times New Roman"/>
          <w:color w:val="2F5496" w:themeColor="accent1" w:themeShade="BF"/>
        </w:rPr>
        <w:lastRenderedPageBreak/>
        <w:t xml:space="preserve">There are four vital rates that are important to estimate when including the seedbank as a stage in a demographic model, in addition to growth, survival, probability of reproduction, and reproductive output </w:t>
      </w:r>
      <w:r w:rsidRPr="006846F4">
        <w:rPr>
          <w:rFonts w:ascii="Times New Roman" w:hAnsi="Times New Roman" w:cs="Times New Roman"/>
          <w:color w:val="2F5496" w:themeColor="accent1" w:themeShade="BF"/>
        </w:rPr>
        <w:fldChar w:fldCharType="begin" w:fldLock="1"/>
      </w:r>
      <w:r w:rsidRPr="006846F4">
        <w:rPr>
          <w:rFonts w:ascii="Times New Roman" w:hAnsi="Times New Roman" w:cs="Times New Roman"/>
          <w:color w:val="2F5496" w:themeColor="accent1" w:themeShade="BF"/>
        </w:rPr>
        <w:instrText>ADDIN CSL_CITATION {"citationItems":[{"id":"ITEM-1","itemData":{"DOI":"10.1111/oik.03696","ISBN":"1600-0706","ISSN":"16000706","abstract":"Dormant life stages are often critical for population viability in stochastic environments, but accurate field data characterizing them are difficult to collect. Such limitations may translate into uncertainties in demographic parameters describing these stages, which then may propagate errors in the examination of population-level responses to environmental variation. Expanding on current methods, we 1) apply data-driven approaches to estimate parameter uncertainty in vital rates of dormant life stages and 2) test whether such estimates provide more robust inferences about population dynamics. We built integral projection models (IPMs) for a fire-adapted, carnivorous plant species using a Bayesian framework to estimate uncertainty in parameters of three vital rates of dormant seeds – seed-bank ingression, stasis and egression. We used stochastic population projections and elasticity analyses to quantify the relative sensitivity of the stochastic population growth rate (log λs) to changes in these vital rates at different fire return intervals. We then ran stochastic projections of log λs for 1000 posterior samples of the three seed-bank vital rates and assessed how strongly their parameter uncertainty propagated into uncertainty in estimates of log λs and the probability of quasi-extinction, Pq(t). Elasticity analyses indicated that changes in seed-bank stasis and egression had large effects on log λs across fire return intervals. In turn, uncertainty in the estimates of these two vital rates explained &gt; 50% of the variation in log λs estimates at several fire-return intervals. Inferences about population viability became less certain as the time between fires widened, with estimates of Pq(t) potentially &gt; 20% higher when considering parameter uncertainty. Our results suggest that, for species with dormant stages, where data is often limited, failing to account for parameter uncertainty in population models may result in incorrect interpretations of population viability.","author":[{"dropping-particle":"","family":"Paniw","given":"Maria","non-dropping-particle":"","parse-names":false,"suffix":""},{"dropping-particle":"","family":"Quintana-Ascencio","given":"Pedro F.","non-dropping-particle":"","parse-names":false,"suffix":""},{"dropping-particle":"","family":"Ojeda","given":"Fernando","non-dropping-particle":"","parse-names":false,"suffix":""},{"dropping-particle":"","family":"Salguero-Gómez","given":"Roberto","non-dropping-particle":"","parse-names":false,"suffix":""}],"container-title":"Oikos","id":"ITEM-1","issue":"6","issued":{"date-parts":[["2017"]]},"page":"900-909","title":"Accounting for uncertainty in dormant life stages in stochastic demographic models","type":"article-journal","volume":"126"},"uris":["http://www.mendeley.com/documents/?uuid=43ed3b29-94b8-4286-8d6a-e2b7763b671f"]}],"mendeley":{"formattedCitation":"(Paniw et al. 2017)","plainTextFormattedCitation":"(Paniw et al. 2017)","previouslyFormattedCitation":"(Paniw et al. 2017)"},"properties":{"noteIndex":0},"schema":"https://github.com/citation-style-language/schema/raw/master/csl-citation.json"}</w:instrText>
      </w:r>
      <w:r w:rsidRPr="006846F4">
        <w:rPr>
          <w:rFonts w:ascii="Times New Roman" w:hAnsi="Times New Roman" w:cs="Times New Roman"/>
          <w:color w:val="2F5496" w:themeColor="accent1" w:themeShade="BF"/>
        </w:rPr>
        <w:fldChar w:fldCharType="separate"/>
      </w:r>
      <w:r w:rsidRPr="006846F4">
        <w:rPr>
          <w:rFonts w:ascii="Times New Roman" w:hAnsi="Times New Roman" w:cs="Times New Roman"/>
          <w:noProof/>
          <w:color w:val="2F5496" w:themeColor="accent1" w:themeShade="BF"/>
        </w:rPr>
        <w:t>(Paniw et al. 2017)</w:t>
      </w:r>
      <w:r w:rsidRPr="006846F4">
        <w:rPr>
          <w:rFonts w:ascii="Times New Roman" w:hAnsi="Times New Roman" w:cs="Times New Roman"/>
          <w:color w:val="2F5496" w:themeColor="accent1" w:themeShade="BF"/>
        </w:rPr>
        <w:fldChar w:fldCharType="end"/>
      </w:r>
      <w:r w:rsidRPr="006846F4">
        <w:rPr>
          <w:rFonts w:ascii="Times New Roman" w:hAnsi="Times New Roman" w:cs="Times New Roman"/>
          <w:color w:val="2F5496" w:themeColor="accent1" w:themeShade="BF"/>
        </w:rPr>
        <w:t xml:space="preserve">: </w:t>
      </w:r>
    </w:p>
    <w:p w14:paraId="0721C1DA" w14:textId="77777777" w:rsidR="006846F4" w:rsidRPr="006846F4" w:rsidRDefault="006846F4" w:rsidP="006846F4">
      <w:pPr>
        <w:pStyle w:val="ListParagraph"/>
        <w:numPr>
          <w:ilvl w:val="2"/>
          <w:numId w:val="1"/>
        </w:numPr>
        <w:spacing w:before="120" w:after="160"/>
        <w:rPr>
          <w:rFonts w:ascii="Times New Roman" w:hAnsi="Times New Roman" w:cs="Times New Roman"/>
          <w:color w:val="2F5496" w:themeColor="accent1" w:themeShade="BF"/>
        </w:rPr>
      </w:pPr>
      <w:r w:rsidRPr="006846F4">
        <w:rPr>
          <w:rFonts w:ascii="Times New Roman" w:hAnsi="Times New Roman" w:cs="Times New Roman"/>
          <w:color w:val="2F5496" w:themeColor="accent1" w:themeShade="BF"/>
        </w:rPr>
        <w:t xml:space="preserve">Probability of a seed produced by an adult plant in year </w:t>
      </w:r>
      <w:r w:rsidRPr="006846F4">
        <w:rPr>
          <w:rFonts w:ascii="Times New Roman" w:hAnsi="Times New Roman" w:cs="Times New Roman"/>
          <w:i/>
          <w:iCs/>
          <w:color w:val="2F5496" w:themeColor="accent1" w:themeShade="BF"/>
        </w:rPr>
        <w:t>t</w:t>
      </w:r>
      <w:r w:rsidRPr="006846F4">
        <w:rPr>
          <w:rFonts w:ascii="Times New Roman" w:hAnsi="Times New Roman" w:cs="Times New Roman"/>
          <w:color w:val="2F5496" w:themeColor="accent1" w:themeShade="BF"/>
        </w:rPr>
        <w:t xml:space="preserve"> will germinate in year </w:t>
      </w:r>
      <w:r w:rsidRPr="006846F4">
        <w:rPr>
          <w:rFonts w:ascii="Times New Roman" w:hAnsi="Times New Roman" w:cs="Times New Roman"/>
          <w:i/>
          <w:iCs/>
          <w:color w:val="2F5496" w:themeColor="accent1" w:themeShade="BF"/>
        </w:rPr>
        <w:t>t+1</w:t>
      </w:r>
      <w:r w:rsidRPr="006846F4">
        <w:rPr>
          <w:rFonts w:ascii="Times New Roman" w:hAnsi="Times New Roman" w:cs="Times New Roman"/>
          <w:color w:val="2F5496" w:themeColor="accent1" w:themeShade="BF"/>
        </w:rPr>
        <w:t xml:space="preserve"> (i.e. skipping the seedbank) (</w:t>
      </w:r>
      <w:proofErr w:type="spellStart"/>
      <w:r w:rsidRPr="006846F4">
        <w:rPr>
          <w:rFonts w:ascii="Times New Roman" w:hAnsi="Times New Roman" w:cs="Times New Roman"/>
          <w:b/>
          <w:bCs/>
          <w:color w:val="2F5496" w:themeColor="accent1" w:themeShade="BF"/>
        </w:rPr>
        <w:t>P</w:t>
      </w:r>
      <w:r w:rsidRPr="006846F4">
        <w:rPr>
          <w:rFonts w:ascii="Times New Roman" w:hAnsi="Times New Roman" w:cs="Times New Roman"/>
          <w:b/>
          <w:bCs/>
          <w:color w:val="2F5496" w:themeColor="accent1" w:themeShade="BF"/>
          <w:vertAlign w:val="subscript"/>
        </w:rPr>
        <w:t>germ</w:t>
      </w:r>
      <w:proofErr w:type="spellEnd"/>
      <w:r w:rsidRPr="006846F4">
        <w:rPr>
          <w:rFonts w:ascii="Times New Roman" w:hAnsi="Times New Roman" w:cs="Times New Roman"/>
          <w:color w:val="2F5496" w:themeColor="accent1" w:themeShade="BF"/>
        </w:rPr>
        <w:t>)</w:t>
      </w:r>
    </w:p>
    <w:p w14:paraId="35167005" w14:textId="77777777" w:rsidR="006846F4" w:rsidRPr="006846F4" w:rsidRDefault="006846F4" w:rsidP="006846F4">
      <w:pPr>
        <w:pStyle w:val="ListParagraph"/>
        <w:numPr>
          <w:ilvl w:val="2"/>
          <w:numId w:val="1"/>
        </w:numPr>
        <w:spacing w:before="120" w:after="160"/>
        <w:rPr>
          <w:rFonts w:ascii="Times New Roman" w:hAnsi="Times New Roman" w:cs="Times New Roman"/>
          <w:color w:val="2F5496" w:themeColor="accent1" w:themeShade="BF"/>
        </w:rPr>
      </w:pPr>
      <w:r w:rsidRPr="006846F4">
        <w:rPr>
          <w:rFonts w:ascii="Times New Roman" w:hAnsi="Times New Roman" w:cs="Times New Roman"/>
          <w:color w:val="2F5496" w:themeColor="accent1" w:themeShade="BF"/>
        </w:rPr>
        <w:t xml:space="preserve">Probability of a seed produced by an adult plant in year </w:t>
      </w:r>
      <w:r w:rsidRPr="006846F4">
        <w:rPr>
          <w:rFonts w:ascii="Times New Roman" w:hAnsi="Times New Roman" w:cs="Times New Roman"/>
          <w:i/>
          <w:iCs/>
          <w:color w:val="2F5496" w:themeColor="accent1" w:themeShade="BF"/>
        </w:rPr>
        <w:t>t</w:t>
      </w:r>
      <w:r w:rsidRPr="006846F4">
        <w:rPr>
          <w:rFonts w:ascii="Times New Roman" w:hAnsi="Times New Roman" w:cs="Times New Roman"/>
          <w:color w:val="2F5496" w:themeColor="accent1" w:themeShade="BF"/>
        </w:rPr>
        <w:t xml:space="preserve"> will enter the seedbank in year </w:t>
      </w:r>
      <w:r w:rsidRPr="006846F4">
        <w:rPr>
          <w:rFonts w:ascii="Times New Roman" w:hAnsi="Times New Roman" w:cs="Times New Roman"/>
          <w:i/>
          <w:iCs/>
          <w:color w:val="2F5496" w:themeColor="accent1" w:themeShade="BF"/>
        </w:rPr>
        <w:t xml:space="preserve">t+1 </w:t>
      </w:r>
      <w:r w:rsidRPr="006846F4">
        <w:rPr>
          <w:rFonts w:ascii="Times New Roman" w:hAnsi="Times New Roman" w:cs="Times New Roman"/>
          <w:color w:val="2F5496" w:themeColor="accent1" w:themeShade="BF"/>
        </w:rPr>
        <w:t>(</w:t>
      </w:r>
      <w:proofErr w:type="spellStart"/>
      <w:r w:rsidRPr="006846F4">
        <w:rPr>
          <w:rFonts w:ascii="Times New Roman" w:hAnsi="Times New Roman" w:cs="Times New Roman"/>
          <w:b/>
          <w:bCs/>
          <w:color w:val="2F5496" w:themeColor="accent1" w:themeShade="BF"/>
        </w:rPr>
        <w:t>P</w:t>
      </w:r>
      <w:r w:rsidRPr="006846F4">
        <w:rPr>
          <w:rFonts w:ascii="Times New Roman" w:hAnsi="Times New Roman" w:cs="Times New Roman"/>
          <w:b/>
          <w:bCs/>
          <w:color w:val="2F5496" w:themeColor="accent1" w:themeShade="BF"/>
          <w:vertAlign w:val="subscript"/>
        </w:rPr>
        <w:t>goSB</w:t>
      </w:r>
      <w:proofErr w:type="spellEnd"/>
      <w:r w:rsidRPr="006846F4">
        <w:rPr>
          <w:rFonts w:ascii="Times New Roman" w:hAnsi="Times New Roman" w:cs="Times New Roman"/>
          <w:color w:val="2F5496" w:themeColor="accent1" w:themeShade="BF"/>
        </w:rPr>
        <w:t>)</w:t>
      </w:r>
    </w:p>
    <w:p w14:paraId="38D44B44" w14:textId="77777777" w:rsidR="006846F4" w:rsidRPr="006846F4" w:rsidRDefault="006846F4" w:rsidP="006846F4">
      <w:pPr>
        <w:pStyle w:val="ListParagraph"/>
        <w:numPr>
          <w:ilvl w:val="2"/>
          <w:numId w:val="1"/>
        </w:numPr>
        <w:spacing w:before="120" w:after="160"/>
        <w:rPr>
          <w:rFonts w:ascii="Times New Roman" w:hAnsi="Times New Roman" w:cs="Times New Roman"/>
          <w:color w:val="2F5496" w:themeColor="accent1" w:themeShade="BF"/>
        </w:rPr>
      </w:pPr>
      <w:r w:rsidRPr="006846F4">
        <w:rPr>
          <w:rFonts w:ascii="Times New Roman" w:hAnsi="Times New Roman" w:cs="Times New Roman"/>
          <w:color w:val="2F5496" w:themeColor="accent1" w:themeShade="BF"/>
        </w:rPr>
        <w:t xml:space="preserve">Probability that a seed in the seedbank in year </w:t>
      </w:r>
      <w:r w:rsidRPr="006846F4">
        <w:rPr>
          <w:rFonts w:ascii="Times New Roman" w:hAnsi="Times New Roman" w:cs="Times New Roman"/>
          <w:i/>
          <w:iCs/>
          <w:color w:val="2F5496" w:themeColor="accent1" w:themeShade="BF"/>
        </w:rPr>
        <w:t>t</w:t>
      </w:r>
      <w:r w:rsidRPr="006846F4">
        <w:rPr>
          <w:rFonts w:ascii="Times New Roman" w:hAnsi="Times New Roman" w:cs="Times New Roman"/>
          <w:color w:val="2F5496" w:themeColor="accent1" w:themeShade="BF"/>
        </w:rPr>
        <w:t xml:space="preserve"> will exit the seedbank in year </w:t>
      </w:r>
      <w:r w:rsidRPr="006846F4">
        <w:rPr>
          <w:rFonts w:ascii="Times New Roman" w:hAnsi="Times New Roman" w:cs="Times New Roman"/>
          <w:i/>
          <w:iCs/>
          <w:color w:val="2F5496" w:themeColor="accent1" w:themeShade="BF"/>
        </w:rPr>
        <w:t>t+1</w:t>
      </w:r>
      <w:r w:rsidRPr="006846F4">
        <w:rPr>
          <w:rFonts w:ascii="Times New Roman" w:hAnsi="Times New Roman" w:cs="Times New Roman"/>
          <w:color w:val="2F5496" w:themeColor="accent1" w:themeShade="BF"/>
        </w:rPr>
        <w:t xml:space="preserve"> (</w:t>
      </w:r>
      <w:proofErr w:type="spellStart"/>
      <w:r w:rsidRPr="006846F4">
        <w:rPr>
          <w:rFonts w:ascii="Times New Roman" w:hAnsi="Times New Roman" w:cs="Times New Roman"/>
          <w:b/>
          <w:bCs/>
          <w:color w:val="2F5496" w:themeColor="accent1" w:themeShade="BF"/>
        </w:rPr>
        <w:t>P</w:t>
      </w:r>
      <w:r w:rsidRPr="006846F4">
        <w:rPr>
          <w:rFonts w:ascii="Times New Roman" w:hAnsi="Times New Roman" w:cs="Times New Roman"/>
          <w:b/>
          <w:bCs/>
          <w:color w:val="2F5496" w:themeColor="accent1" w:themeShade="BF"/>
          <w:vertAlign w:val="subscript"/>
        </w:rPr>
        <w:t>SBout</w:t>
      </w:r>
      <w:proofErr w:type="spellEnd"/>
      <w:r w:rsidRPr="006846F4">
        <w:rPr>
          <w:rFonts w:ascii="Times New Roman" w:hAnsi="Times New Roman" w:cs="Times New Roman"/>
          <w:color w:val="2F5496" w:themeColor="accent1" w:themeShade="BF"/>
        </w:rPr>
        <w:t>)</w:t>
      </w:r>
    </w:p>
    <w:p w14:paraId="435850EC" w14:textId="77777777" w:rsidR="006846F4" w:rsidRPr="006846F4" w:rsidRDefault="006846F4" w:rsidP="006846F4">
      <w:pPr>
        <w:pStyle w:val="ListParagraph"/>
        <w:numPr>
          <w:ilvl w:val="2"/>
          <w:numId w:val="1"/>
        </w:numPr>
        <w:spacing w:before="120" w:after="160"/>
        <w:rPr>
          <w:rFonts w:ascii="Times New Roman" w:hAnsi="Times New Roman" w:cs="Times New Roman"/>
          <w:color w:val="2F5496" w:themeColor="accent1" w:themeShade="BF"/>
        </w:rPr>
      </w:pPr>
      <w:r w:rsidRPr="006846F4">
        <w:rPr>
          <w:rFonts w:ascii="Times New Roman" w:hAnsi="Times New Roman" w:cs="Times New Roman"/>
          <w:color w:val="2F5496" w:themeColor="accent1" w:themeShade="BF"/>
        </w:rPr>
        <w:t xml:space="preserve">Probability that a seed in the seedbank in year </w:t>
      </w:r>
      <w:r w:rsidRPr="006846F4">
        <w:rPr>
          <w:rFonts w:ascii="Times New Roman" w:hAnsi="Times New Roman" w:cs="Times New Roman"/>
          <w:i/>
          <w:iCs/>
          <w:color w:val="2F5496" w:themeColor="accent1" w:themeShade="BF"/>
        </w:rPr>
        <w:t>t</w:t>
      </w:r>
      <w:r w:rsidRPr="006846F4">
        <w:rPr>
          <w:rFonts w:ascii="Times New Roman" w:hAnsi="Times New Roman" w:cs="Times New Roman"/>
          <w:color w:val="2F5496" w:themeColor="accent1" w:themeShade="BF"/>
        </w:rPr>
        <w:t xml:space="preserve"> will stay in the seedbank as a viable seed in year </w:t>
      </w:r>
      <w:r w:rsidRPr="006846F4">
        <w:rPr>
          <w:rFonts w:ascii="Times New Roman" w:hAnsi="Times New Roman" w:cs="Times New Roman"/>
          <w:i/>
          <w:iCs/>
          <w:color w:val="2F5496" w:themeColor="accent1" w:themeShade="BF"/>
        </w:rPr>
        <w:t>t+1</w:t>
      </w:r>
      <w:r w:rsidRPr="006846F4">
        <w:rPr>
          <w:rFonts w:ascii="Times New Roman" w:hAnsi="Times New Roman" w:cs="Times New Roman"/>
          <w:color w:val="2F5496" w:themeColor="accent1" w:themeShade="BF"/>
        </w:rPr>
        <w:t xml:space="preserve"> (</w:t>
      </w:r>
      <w:proofErr w:type="spellStart"/>
      <w:r w:rsidRPr="006846F4">
        <w:rPr>
          <w:rFonts w:ascii="Times New Roman" w:hAnsi="Times New Roman" w:cs="Times New Roman"/>
          <w:b/>
          <w:bCs/>
          <w:color w:val="2F5496" w:themeColor="accent1" w:themeShade="BF"/>
        </w:rPr>
        <w:t>P</w:t>
      </w:r>
      <w:r w:rsidRPr="006846F4">
        <w:rPr>
          <w:rFonts w:ascii="Times New Roman" w:hAnsi="Times New Roman" w:cs="Times New Roman"/>
          <w:b/>
          <w:bCs/>
          <w:color w:val="2F5496" w:themeColor="accent1" w:themeShade="BF"/>
          <w:vertAlign w:val="subscript"/>
        </w:rPr>
        <w:t>SBstay</w:t>
      </w:r>
      <w:proofErr w:type="spellEnd"/>
      <w:r w:rsidRPr="006846F4">
        <w:rPr>
          <w:rFonts w:ascii="Times New Roman" w:hAnsi="Times New Roman" w:cs="Times New Roman"/>
          <w:color w:val="2F5496" w:themeColor="accent1" w:themeShade="BF"/>
        </w:rPr>
        <w:t>)</w:t>
      </w:r>
    </w:p>
    <w:p w14:paraId="3DBAFD6F" w14:textId="77777777" w:rsidR="006846F4" w:rsidRPr="006846F4" w:rsidRDefault="006846F4" w:rsidP="006846F4">
      <w:pPr>
        <w:pStyle w:val="ListParagraph"/>
        <w:numPr>
          <w:ilvl w:val="2"/>
          <w:numId w:val="1"/>
        </w:numPr>
        <w:spacing w:before="120"/>
        <w:rPr>
          <w:rFonts w:ascii="Times New Roman" w:hAnsi="Times New Roman" w:cs="Times New Roman"/>
          <w:color w:val="2F5496" w:themeColor="accent1" w:themeShade="BF"/>
        </w:rPr>
      </w:pPr>
      <w:r w:rsidRPr="006846F4">
        <w:rPr>
          <w:rFonts w:ascii="Times New Roman" w:hAnsi="Times New Roman" w:cs="Times New Roman"/>
          <w:color w:val="2F5496" w:themeColor="accent1" w:themeShade="BF"/>
        </w:rPr>
        <w:t xml:space="preserve">*Vital rates #1 and #2, and #3 and #4 do not need to sum to 1. The remainder of each of these pairs accounts for seed mortality between years.  </w:t>
      </w:r>
    </w:p>
    <w:p w14:paraId="683D384E" w14:textId="2911DAED" w:rsidR="006846F4" w:rsidRPr="006846F4" w:rsidRDefault="006846F4" w:rsidP="006846F4">
      <w:pPr>
        <w:pStyle w:val="ListParagraph"/>
        <w:numPr>
          <w:ilvl w:val="1"/>
          <w:numId w:val="1"/>
        </w:numPr>
        <w:spacing w:before="120"/>
        <w:rPr>
          <w:rFonts w:ascii="Times New Roman" w:hAnsi="Times New Roman" w:cs="Times New Roman"/>
          <w:color w:val="2F5496" w:themeColor="accent1" w:themeShade="BF"/>
        </w:rPr>
      </w:pPr>
      <w:r w:rsidRPr="006846F4">
        <w:rPr>
          <w:rFonts w:ascii="Times New Roman" w:hAnsi="Times New Roman" w:cs="Times New Roman"/>
          <w:color w:val="2F5496" w:themeColor="accent1" w:themeShade="BF"/>
        </w:rPr>
        <w:t xml:space="preserve">it is possible to incorporate a discrete seedbank stage into an IPM by adding an additional equation to the model </w:t>
      </w:r>
      <w:r w:rsidRPr="006846F4">
        <w:rPr>
          <w:rFonts w:ascii="Times New Roman" w:hAnsi="Times New Roman" w:cs="Times New Roman"/>
          <w:color w:val="2F5496" w:themeColor="accent1" w:themeShade="BF"/>
        </w:rPr>
        <w:fldChar w:fldCharType="begin" w:fldLock="1"/>
      </w:r>
      <w:r w:rsidRPr="006846F4">
        <w:rPr>
          <w:rFonts w:ascii="Times New Roman" w:hAnsi="Times New Roman" w:cs="Times New Roman"/>
          <w:color w:val="2F5496" w:themeColor="accent1" w:themeShade="BF"/>
        </w:rPr>
        <w:instrText>ADDIN CSL_CITATION {"citationItems":[{"id":"ITEM-1","itemData":{"DOI":"10.1007/978-3-319-28893-2","ISBN":"978-3-319-28891-8","author":[{"dropping-particle":"","family":"Ellner","given":"Stephen P.","non-dropping-particle":"","parse-names":false,"suffix":""},{"dropping-particle":"","family":"Childs","given":"Dylan Z.","non-dropping-particle":"","parse-names":false,"suffix":""},{"dropping-particle":"","family":"Rees","given":"Mark","non-dropping-particle":"","parse-names":false,"suffix":""}],"collection-title":"Lecture Notes on Mathematical Modelling in the Life Sciences","id":"ITEM-1","issued":{"date-parts":[["2016"]]},"publisher":"Springer International Publishing","publisher-place":"Switzerland","title":"Data-driven Modelling of Structured Populations","type":"book"},"uris":["http://www.mendeley.com/documents/?uuid=b85ba009-3e7c-4277-aba9-2a8010a71f0b"]},{"id":"ITEM-2","itemData":{"DOI":"10.1111/oik.03696","ISBN":"1600-0706","ISSN":"16000706","abstract":"Dormant life stages are often critical for population viability in stochastic environments, but accurate field data characterizing them are difficult to collect. Such limitations may translate into uncertainties in demographic parameters describing these stages, which then may propagate errors in the examination of population-level responses to environmental variation. Expanding on current methods, we 1) apply data-driven approaches to estimate parameter uncertainty in vital rates of dormant life stages and 2) test whether such estimates provide more robust inferences about population dynamics. We built integral projection models (IPMs) for a fire-adapted, carnivorous plant species using a Bayesian framework to estimate uncertainty in parameters of three vital rates of dormant seeds – seed-bank ingression, stasis and egression. We used stochastic population projections and elasticity analyses to quantify the relative sensitivity of the stochastic population growth rate (log λs) to changes in these vital rates at different fire return intervals. We then ran stochastic projections of log λs for 1000 posterior samples of the three seed-bank vital rates and assessed how strongly their parameter uncertainty propagated into uncertainty in estimates of log λs and the probability of quasi-extinction, Pq(t). Elasticity analyses indicated that changes in seed-bank stasis and egression had large effects on log λs across fire return intervals. In turn, uncertainty in the estimates of these two vital rates explained &gt; 50% of the variation in log λs estimates at several fire-return intervals. Inferences about population viability became less certain as the time between fires widened, with estimates of Pq(t) potentially &gt; 20% higher when considering parameter uncertainty. Our results suggest that, for species with dormant stages, where data is often limited, failing to account for parameter uncertainty in population models may result in incorrect interpretations of population viability.","author":[{"dropping-particle":"","family":"Paniw","given":"Maria","non-dropping-particle":"","parse-names":false,"suffix":""},{"dropping-particle":"","family":"Quintana-Ascencio","given":"Pedro F.","non-dropping-particle":"","parse-names":false,"suffix":""},{"dropping-particle":"","family":"Ojeda","given":"Fernando","non-dropping-particle":"","parse-names":false,"suffix":""},{"dropping-particle":"","family":"Salguero-Gómez","given":"Roberto","non-dropping-particle":"","parse-names":false,"suffix":""}],"container-title":"Oikos","id":"ITEM-2","issue":"6","issued":{"date-parts":[["2017"]]},"page":"900-909","title":"Accounting for uncertainty in dormant life stages in stochastic demographic models","type":"article-journal","volume":"126"},"uris":["http://www.mendeley.com/documents/?uuid=43ed3b29-94b8-4286-8d6a-e2b7763b671f"]},{"id":"ITEM-3","itemData":{"DOI":"10.1111/j.1365-2745.2008.01374.x","ISSN":"00220477","author":[{"dropping-particle":"","family":"Kuss","given":"Patrick","non-dropping-particle":"","parse-names":false,"suffix":""},{"dropping-particle":"","family":"Rees","given":"Mark","non-dropping-particle":"","parse-names":false,"suffix":""},{"dropping-particle":"","family":"AEgisdóttir","given":"Hafdís Hanna","non-dropping-particle":"","parse-names":false,"suffix":""},{"dropping-particle":"","family":"Ellner","given":"Stephen P.","non-dropping-particle":"","parse-names":false,"suffix":""},{"dropping-particle":"","family":"Stöcklin","given":"Jürg","non-dropping-particle":"","parse-names":false,"suffix":""}],"container-title":"Journal of Ecology","id":"ITEM-3","issue":"4","issued":{"date-parts":[["2008","7"]]},"page":"821-832","title":"Evolutionary demography of long-lived monocarpic perennials: a time-lagged integral projection model","type":"article-journal","volume":"96"},"uris":["http://www.mendeley.com/documents/?uuid=0223fbf6-063f-4a0e-93f2-c6d05ed34e0e"]}],"mendeley":{"formattedCitation":"(Ellner, Childs, and Rees 2016; Kuss et al. 2008; Paniw et al. 2017)","plainTextFormattedCitation":"(Ellner, Childs, and Rees 2016; Kuss et al. 2008; Paniw et al. 2017)","previouslyFormattedCitation":"(Ellner, Childs, and Rees 2016; Kuss et al. 2008; Paniw et al. 2017)"},"properties":{"noteIndex":0},"schema":"https://github.com/citation-style-language/schema/raw/master/csl-citation.json"}</w:instrText>
      </w:r>
      <w:r w:rsidRPr="006846F4">
        <w:rPr>
          <w:rFonts w:ascii="Times New Roman" w:hAnsi="Times New Roman" w:cs="Times New Roman"/>
          <w:color w:val="2F5496" w:themeColor="accent1" w:themeShade="BF"/>
        </w:rPr>
        <w:fldChar w:fldCharType="separate"/>
      </w:r>
      <w:r w:rsidRPr="006846F4">
        <w:rPr>
          <w:rFonts w:ascii="Times New Roman" w:hAnsi="Times New Roman" w:cs="Times New Roman"/>
          <w:noProof/>
          <w:color w:val="2F5496" w:themeColor="accent1" w:themeShade="BF"/>
        </w:rPr>
        <w:t>(Ellner, Childs, and Rees 2016; Kuss et al. 2008; Paniw et al. 2017)</w:t>
      </w:r>
      <w:r w:rsidRPr="006846F4">
        <w:rPr>
          <w:rFonts w:ascii="Times New Roman" w:hAnsi="Times New Roman" w:cs="Times New Roman"/>
          <w:color w:val="2F5496" w:themeColor="accent1" w:themeShade="BF"/>
        </w:rPr>
        <w:fldChar w:fldCharType="end"/>
      </w:r>
      <w:r w:rsidRPr="006846F4">
        <w:rPr>
          <w:rFonts w:ascii="Times New Roman" w:hAnsi="Times New Roman" w:cs="Times New Roman"/>
          <w:color w:val="2F5496" w:themeColor="accent1" w:themeShade="BF"/>
        </w:rPr>
        <w:t xml:space="preserve">. The equation that describes the number and size of individuals in year </w:t>
      </w:r>
      <w:r w:rsidRPr="006846F4">
        <w:rPr>
          <w:rFonts w:ascii="Times New Roman" w:hAnsi="Times New Roman" w:cs="Times New Roman"/>
          <w:i/>
          <w:iCs/>
          <w:color w:val="2F5496" w:themeColor="accent1" w:themeShade="BF"/>
        </w:rPr>
        <w:t xml:space="preserve">t+1 </w:t>
      </w:r>
      <w:r w:rsidRPr="006846F4">
        <w:rPr>
          <w:rFonts w:ascii="Times New Roman" w:hAnsi="Times New Roman" w:cs="Times New Roman"/>
          <w:color w:val="2F5496" w:themeColor="accent1" w:themeShade="BF"/>
        </w:rPr>
        <w:t>(</w:t>
      </w:r>
      <w:r w:rsidRPr="006846F4">
        <w:rPr>
          <w:rFonts w:ascii="Times New Roman" w:hAnsi="Times New Roman" w:cs="Times New Roman"/>
          <w:b/>
          <w:bCs/>
          <w:color w:val="2F5496" w:themeColor="accent1" w:themeShade="BF"/>
        </w:rPr>
        <w:t>n(z’,t+1)</w:t>
      </w:r>
      <w:r w:rsidRPr="006846F4">
        <w:rPr>
          <w:rFonts w:ascii="Times New Roman" w:hAnsi="Times New Roman" w:cs="Times New Roman"/>
          <w:color w:val="2F5496" w:themeColor="accent1" w:themeShade="BF"/>
        </w:rPr>
        <w:t xml:space="preserve">), using data from a pre-reproductive census of a monocarpic perennial, and assuming that probability of flowering and reproductive output is determined by vegetative size in year </w:t>
      </w:r>
      <w:r w:rsidRPr="006846F4">
        <w:rPr>
          <w:rFonts w:ascii="Times New Roman" w:hAnsi="Times New Roman" w:cs="Times New Roman"/>
          <w:i/>
          <w:iCs/>
          <w:color w:val="2F5496" w:themeColor="accent1" w:themeShade="BF"/>
        </w:rPr>
        <w:t>t-1</w:t>
      </w:r>
      <w:r w:rsidRPr="006846F4">
        <w:rPr>
          <w:rFonts w:ascii="Times New Roman" w:hAnsi="Times New Roman" w:cs="Times New Roman"/>
          <w:color w:val="2F5496" w:themeColor="accent1" w:themeShade="BF"/>
        </w:rPr>
        <w:t xml:space="preserve">, is as follows: </w:t>
      </w:r>
    </w:p>
    <w:p w14:paraId="0FA5EA58" w14:textId="77777777" w:rsidR="006846F4" w:rsidRPr="006846F4" w:rsidRDefault="006846F4" w:rsidP="006846F4">
      <w:pPr>
        <w:spacing w:before="120" w:line="480" w:lineRule="auto"/>
        <w:ind w:left="540"/>
        <w:rPr>
          <w:rFonts w:ascii="Times New Roman" w:eastAsiaTheme="minorEastAsia" w:hAnsi="Times New Roman" w:cs="Times New Roman"/>
          <w:color w:val="2F5496" w:themeColor="accent1" w:themeShade="BF"/>
        </w:rPr>
      </w:pPr>
      <m:oMathPara>
        <m:oMathParaPr>
          <m:jc m:val="left"/>
        </m:oMathParaPr>
        <m:oMath>
          <m:r>
            <m:rPr>
              <m:nor/>
            </m:rPr>
            <w:rPr>
              <w:rFonts w:ascii="Times New Roman" w:hAnsi="Times New Roman" w:cs="Times New Roman"/>
              <w:color w:val="2F5496" w:themeColor="accent1" w:themeShade="BF"/>
            </w:rPr>
            <m:t>n</m:t>
          </m:r>
          <m:d>
            <m:dPr>
              <m:ctrlPr>
                <w:rPr>
                  <w:rFonts w:ascii="Cambria Math" w:hAnsi="Cambria Math" w:cs="Times New Roman"/>
                  <w:i/>
                  <w:color w:val="2F5496" w:themeColor="accent1" w:themeShade="BF"/>
                </w:rPr>
              </m:ctrlPr>
            </m:dPr>
            <m:e>
              <m:r>
                <m:rPr>
                  <m:nor/>
                </m:rPr>
                <w:rPr>
                  <w:rFonts w:ascii="Times New Roman" w:hAnsi="Times New Roman" w:cs="Times New Roman"/>
                  <w:i/>
                  <w:color w:val="2F5496" w:themeColor="accent1" w:themeShade="BF"/>
                </w:rPr>
                <m:t>z',t+1</m:t>
              </m:r>
            </m:e>
          </m:d>
          <m:r>
            <m:rPr>
              <m:nor/>
            </m:rPr>
            <w:rPr>
              <w:rFonts w:ascii="Times New Roman" w:hAnsi="Times New Roman" w:cs="Times New Roman"/>
              <w:color w:val="2F5496" w:themeColor="accent1" w:themeShade="BF"/>
            </w:rPr>
            <m:t xml:space="preserve">= </m:t>
          </m:r>
          <m:nary>
            <m:naryPr>
              <m:limLoc m:val="subSup"/>
              <m:ctrlPr>
                <w:rPr>
                  <w:rFonts w:ascii="Cambria Math" w:hAnsi="Cambria Math" w:cs="Times New Roman"/>
                  <w:i/>
                  <w:color w:val="2F5496" w:themeColor="accent1" w:themeShade="BF"/>
                </w:rPr>
              </m:ctrlPr>
            </m:naryPr>
            <m:sub>
              <m:r>
                <m:rPr>
                  <m:nor/>
                </m:rPr>
                <w:rPr>
                  <w:rFonts w:ascii="Times New Roman" w:hAnsi="Times New Roman" w:cs="Times New Roman"/>
                  <w:color w:val="2F5496" w:themeColor="accent1" w:themeShade="BF"/>
                </w:rPr>
                <m:t>L</m:t>
              </m:r>
            </m:sub>
            <m:sup>
              <m:r>
                <m:rPr>
                  <m:nor/>
                </m:rPr>
                <w:rPr>
                  <w:rFonts w:ascii="Times New Roman" w:hAnsi="Times New Roman" w:cs="Times New Roman"/>
                  <w:color w:val="2F5496" w:themeColor="accent1" w:themeShade="BF"/>
                </w:rPr>
                <m:t>U</m:t>
              </m:r>
            </m:sup>
            <m:e>
              <m:d>
                <m:dPr>
                  <m:ctrlPr>
                    <w:rPr>
                      <w:rFonts w:ascii="Cambria Math" w:hAnsi="Cambria Math" w:cs="Times New Roman"/>
                      <w:i/>
                      <w:color w:val="2F5496" w:themeColor="accent1" w:themeShade="BF"/>
                    </w:rPr>
                  </m:ctrlPr>
                </m:dPr>
                <m:e>
                  <m:r>
                    <m:rPr>
                      <m:nor/>
                    </m:rPr>
                    <w:rPr>
                      <w:rFonts w:ascii="Times New Roman" w:hAnsi="Times New Roman" w:cs="Times New Roman"/>
                      <w:color w:val="2F5496" w:themeColor="accent1" w:themeShade="BF"/>
                    </w:rPr>
                    <m:t>1-</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b</m:t>
                      </m:r>
                    </m:sub>
                  </m:sSub>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z</m:t>
                      </m:r>
                    </m:e>
                  </m:d>
                </m:e>
              </m:d>
              <m:r>
                <w:rPr>
                  <w:rFonts w:ascii="Cambria Math" w:hAnsi="Cambria Math" w:cs="Times New Roman"/>
                  <w:color w:val="2F5496" w:themeColor="accent1" w:themeShade="BF"/>
                </w:rPr>
                <m:t>s</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z</m:t>
                  </m:r>
                </m:e>
              </m:d>
              <m:r>
                <w:rPr>
                  <w:rFonts w:ascii="Cambria Math" w:hAnsi="Cambria Math" w:cs="Times New Roman"/>
                  <w:color w:val="2F5496" w:themeColor="accent1" w:themeShade="BF"/>
                </w:rPr>
                <m:t>G</m:t>
              </m:r>
              <m:d>
                <m:dPr>
                  <m:ctrlPr>
                    <w:rPr>
                      <w:rFonts w:ascii="Cambria Math" w:hAnsi="Cambria Math" w:cs="Times New Roman"/>
                      <w:i/>
                      <w:color w:val="2F5496" w:themeColor="accent1" w:themeShade="BF"/>
                    </w:rPr>
                  </m:ctrlPr>
                </m:dPr>
                <m:e>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z</m:t>
                      </m:r>
                    </m:e>
                    <m:sup>
                      <m:r>
                        <w:rPr>
                          <w:rFonts w:ascii="Cambria Math" w:hAnsi="Cambria Math" w:cs="Times New Roman"/>
                          <w:color w:val="2F5496" w:themeColor="accent1" w:themeShade="BF"/>
                        </w:rPr>
                        <m:t>'</m:t>
                      </m:r>
                    </m:sup>
                  </m:sSup>
                  <m:r>
                    <w:rPr>
                      <w:rFonts w:ascii="Cambria Math" w:hAnsi="Cambria Math" w:cs="Times New Roman"/>
                      <w:color w:val="2F5496" w:themeColor="accent1" w:themeShade="BF"/>
                    </w:rPr>
                    <m:t>,z</m:t>
                  </m:r>
                </m:e>
              </m:d>
              <m:r>
                <w:rPr>
                  <w:rFonts w:ascii="Cambria Math" w:hAnsi="Cambria Math" w:cs="Times New Roman"/>
                  <w:color w:val="2F5496" w:themeColor="accent1" w:themeShade="BF"/>
                </w:rPr>
                <m:t>n</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z,t</m:t>
                  </m:r>
                </m:e>
              </m:d>
              <m:r>
                <w:rPr>
                  <w:rFonts w:ascii="Cambria Math" w:hAnsi="Cambria Math" w:cs="Times New Roman"/>
                  <w:color w:val="2F5496" w:themeColor="accent1" w:themeShade="BF"/>
                </w:rPr>
                <m:t>dz</m:t>
              </m:r>
            </m:e>
          </m:nary>
          <m:r>
            <w:rPr>
              <w:rFonts w:ascii="Cambria Math" w:hAnsi="Cambria Math" w:cs="Times New Roman"/>
              <w:color w:val="2F5496" w:themeColor="accent1" w:themeShade="BF"/>
            </w:rPr>
            <m:t xml:space="preserve">+ </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c</m:t>
              </m:r>
            </m:e>
            <m:sub>
              <m:r>
                <w:rPr>
                  <w:rFonts w:ascii="Cambria Math" w:hAnsi="Cambria Math" w:cs="Times New Roman"/>
                  <w:color w:val="2F5496" w:themeColor="accent1" w:themeShade="BF"/>
                </w:rPr>
                <m:t>0</m:t>
              </m:r>
            </m:sub>
          </m:sSub>
          <m:r>
            <w:rPr>
              <w:rFonts w:ascii="Cambria Math" w:hAnsi="Cambria Math" w:cs="Times New Roman"/>
              <w:color w:val="2F5496" w:themeColor="accent1" w:themeShade="BF"/>
            </w:rPr>
            <m:t>(z')</m:t>
          </m:r>
          <m:d>
            <m:dPr>
              <m:begChr m:val="["/>
              <m:endChr m:val="]"/>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germ</m:t>
                  </m:r>
                </m:sub>
              </m:sSub>
              <m:r>
                <w:rPr>
                  <w:rFonts w:ascii="Cambria Math" w:hAnsi="Cambria Math" w:cs="Times New Roman"/>
                  <w:color w:val="2F5496" w:themeColor="accent1" w:themeShade="BF"/>
                </w:rPr>
                <m:t>)</m:t>
              </m:r>
              <m:nary>
                <m:naryPr>
                  <m:limLoc m:val="subSup"/>
                  <m:ctrlPr>
                    <w:rPr>
                      <w:rFonts w:ascii="Cambria Math" w:hAnsi="Cambria Math" w:cs="Times New Roman"/>
                      <w:i/>
                      <w:color w:val="2F5496" w:themeColor="accent1" w:themeShade="BF"/>
                    </w:rPr>
                  </m:ctrlPr>
                </m:naryPr>
                <m:sub>
                  <m:r>
                    <w:rPr>
                      <w:rFonts w:ascii="Cambria Math" w:hAnsi="Cambria Math" w:cs="Times New Roman"/>
                      <w:color w:val="2F5496" w:themeColor="accent1" w:themeShade="BF"/>
                    </w:rPr>
                    <m:t>L</m:t>
                  </m:r>
                </m:sub>
                <m:sup>
                  <m:r>
                    <w:rPr>
                      <w:rFonts w:ascii="Cambria Math" w:hAnsi="Cambria Math" w:cs="Times New Roman"/>
                      <w:color w:val="2F5496" w:themeColor="accent1" w:themeShade="BF"/>
                    </w:rPr>
                    <m:t>U</m:t>
                  </m:r>
                </m:sup>
                <m:e>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b</m:t>
                      </m:r>
                    </m:sub>
                  </m:sSub>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z</m:t>
                      </m:r>
                    </m:e>
                  </m:d>
                  <m:r>
                    <w:rPr>
                      <w:rFonts w:ascii="Cambria Math" w:hAnsi="Cambria Math" w:cs="Times New Roman"/>
                      <w:color w:val="2F5496" w:themeColor="accent1" w:themeShade="BF"/>
                    </w:rPr>
                    <m:t>b</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z</m:t>
                      </m:r>
                    </m:e>
                  </m:d>
                  <m:r>
                    <w:rPr>
                      <w:rFonts w:ascii="Cambria Math" w:hAnsi="Cambria Math" w:cs="Times New Roman"/>
                      <w:color w:val="2F5496" w:themeColor="accent1" w:themeShade="BF"/>
                    </w:rPr>
                    <m:t>n</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z,t-1</m:t>
                      </m:r>
                    </m:e>
                  </m:d>
                  <m:r>
                    <w:rPr>
                      <w:rFonts w:ascii="Cambria Math" w:hAnsi="Cambria Math" w:cs="Times New Roman"/>
                      <w:color w:val="2F5496" w:themeColor="accent1" w:themeShade="BF"/>
                    </w:rPr>
                    <m:t xml:space="preserve">dz+ </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SBout</m:t>
                      </m:r>
                    </m:sub>
                  </m:sSub>
                  <m:r>
                    <w:rPr>
                      <w:rFonts w:ascii="Cambria Math" w:hAnsi="Cambria Math" w:cs="Times New Roman"/>
                      <w:color w:val="2F5496" w:themeColor="accent1" w:themeShade="BF"/>
                    </w:rPr>
                    <m:t>B(t)</m:t>
                  </m:r>
                </m:e>
              </m:nary>
            </m:e>
          </m:d>
        </m:oMath>
      </m:oMathPara>
    </w:p>
    <w:p w14:paraId="6B1BFBEC" w14:textId="070060CA" w:rsidR="006846F4" w:rsidRPr="006846F4" w:rsidRDefault="006846F4" w:rsidP="006846F4">
      <w:pPr>
        <w:spacing w:before="120"/>
        <w:rPr>
          <w:rFonts w:ascii="Times New Roman" w:eastAsiaTheme="minorEastAsia" w:hAnsi="Times New Roman" w:cs="Times New Roman"/>
          <w:color w:val="2F5496" w:themeColor="accent1" w:themeShade="BF"/>
        </w:rPr>
      </w:pPr>
      <w:r w:rsidRPr="006846F4">
        <w:rPr>
          <w:rFonts w:ascii="Times New Roman" w:eastAsiaTheme="minorEastAsia" w:hAnsi="Times New Roman" w:cs="Times New Roman"/>
          <w:color w:val="2F5496" w:themeColor="accent1" w:themeShade="BF"/>
        </w:rPr>
        <w:t xml:space="preserve">Where </w:t>
      </w:r>
      <w:r w:rsidRPr="006846F4">
        <w:rPr>
          <w:rFonts w:ascii="Times New Roman" w:eastAsiaTheme="minorEastAsia" w:hAnsi="Times New Roman" w:cs="Times New Roman"/>
          <w:b/>
          <w:bCs/>
          <w:i/>
          <w:iCs/>
          <w:color w:val="2F5496" w:themeColor="accent1" w:themeShade="BF"/>
        </w:rPr>
        <w:t>z</w:t>
      </w:r>
      <w:r w:rsidRPr="006846F4">
        <w:rPr>
          <w:rFonts w:ascii="Times New Roman" w:eastAsiaTheme="minorEastAsia" w:hAnsi="Times New Roman" w:cs="Times New Roman"/>
          <w:color w:val="2F5496" w:themeColor="accent1" w:themeShade="BF"/>
        </w:rPr>
        <w:t xml:space="preserve">=the distribution of plant size in year </w:t>
      </w:r>
      <w:r w:rsidRPr="006846F4">
        <w:rPr>
          <w:rFonts w:ascii="Times New Roman" w:eastAsiaTheme="minorEastAsia" w:hAnsi="Times New Roman" w:cs="Times New Roman"/>
          <w:i/>
          <w:iCs/>
          <w:color w:val="2F5496" w:themeColor="accent1" w:themeShade="BF"/>
        </w:rPr>
        <w:t>t</w:t>
      </w:r>
      <w:r w:rsidRPr="006846F4">
        <w:rPr>
          <w:rFonts w:ascii="Times New Roman" w:eastAsiaTheme="minorEastAsia" w:hAnsi="Times New Roman" w:cs="Times New Roman"/>
          <w:color w:val="2F5496" w:themeColor="accent1" w:themeShade="BF"/>
        </w:rPr>
        <w:t xml:space="preserve">; </w:t>
      </w:r>
      <w:r w:rsidRPr="006846F4">
        <w:rPr>
          <w:rFonts w:ascii="Times New Roman" w:eastAsiaTheme="minorEastAsia" w:hAnsi="Times New Roman" w:cs="Times New Roman"/>
          <w:b/>
          <w:bCs/>
          <w:i/>
          <w:iCs/>
          <w:color w:val="2F5496" w:themeColor="accent1" w:themeShade="BF"/>
        </w:rPr>
        <w:t>z’</w:t>
      </w:r>
      <w:r w:rsidRPr="006846F4">
        <w:rPr>
          <w:rFonts w:ascii="Times New Roman" w:eastAsiaTheme="minorEastAsia" w:hAnsi="Times New Roman" w:cs="Times New Roman"/>
          <w:color w:val="2F5496" w:themeColor="accent1" w:themeShade="BF"/>
        </w:rPr>
        <w:t xml:space="preserve">=distribution of plant size in year </w:t>
      </w:r>
      <w:r w:rsidRPr="006846F4">
        <w:rPr>
          <w:rFonts w:ascii="Times New Roman" w:eastAsiaTheme="minorEastAsia" w:hAnsi="Times New Roman" w:cs="Times New Roman"/>
          <w:i/>
          <w:iCs/>
          <w:color w:val="2F5496" w:themeColor="accent1" w:themeShade="BF"/>
        </w:rPr>
        <w:t>t+1</w:t>
      </w:r>
      <w:r w:rsidRPr="006846F4">
        <w:rPr>
          <w:rFonts w:ascii="Times New Roman" w:eastAsiaTheme="minorEastAsia" w:hAnsi="Times New Roman" w:cs="Times New Roman"/>
          <w:color w:val="2F5496" w:themeColor="accent1" w:themeShade="BF"/>
        </w:rPr>
        <w:t>;</w:t>
      </w:r>
      <w:r w:rsidRPr="006846F4">
        <w:rPr>
          <w:rFonts w:ascii="Times New Roman" w:eastAsiaTheme="minorEastAsia" w:hAnsi="Times New Roman" w:cs="Times New Roman"/>
          <w:i/>
          <w:iCs/>
          <w:color w:val="2F5496" w:themeColor="accent1" w:themeShade="BF"/>
        </w:rPr>
        <w:t xml:space="preserve"> </w:t>
      </w:r>
      <w:r w:rsidRPr="006846F4">
        <w:rPr>
          <w:rFonts w:ascii="Times New Roman" w:eastAsiaTheme="minorEastAsia" w:hAnsi="Times New Roman" w:cs="Times New Roman"/>
          <w:b/>
          <w:bCs/>
          <w:i/>
          <w:iCs/>
          <w:color w:val="2F5496" w:themeColor="accent1" w:themeShade="BF"/>
        </w:rPr>
        <w:t>p</w:t>
      </w:r>
      <w:r w:rsidRPr="006846F4">
        <w:rPr>
          <w:rFonts w:ascii="Times New Roman" w:eastAsiaTheme="minorEastAsia" w:hAnsi="Times New Roman" w:cs="Times New Roman"/>
          <w:b/>
          <w:bCs/>
          <w:i/>
          <w:iCs/>
          <w:color w:val="2F5496" w:themeColor="accent1" w:themeShade="BF"/>
          <w:vertAlign w:val="subscript"/>
        </w:rPr>
        <w:t>b</w:t>
      </w:r>
      <w:r w:rsidRPr="006846F4">
        <w:rPr>
          <w:rFonts w:ascii="Times New Roman" w:eastAsiaTheme="minorEastAsia" w:hAnsi="Times New Roman" w:cs="Times New Roman"/>
          <w:b/>
          <w:bCs/>
          <w:i/>
          <w:iCs/>
          <w:color w:val="2F5496" w:themeColor="accent1" w:themeShade="BF"/>
        </w:rPr>
        <w:t>(z)</w:t>
      </w:r>
      <w:r w:rsidRPr="006846F4">
        <w:rPr>
          <w:rFonts w:ascii="Times New Roman" w:eastAsiaTheme="minorEastAsia" w:hAnsi="Times New Roman" w:cs="Times New Roman"/>
          <w:color w:val="2F5496" w:themeColor="accent1" w:themeShade="BF"/>
        </w:rPr>
        <w:t xml:space="preserve">=probability of reproduction as a function of size </w:t>
      </w:r>
      <w:r w:rsidRPr="006846F4">
        <w:rPr>
          <w:rFonts w:ascii="Times New Roman" w:eastAsiaTheme="minorEastAsia" w:hAnsi="Times New Roman" w:cs="Times New Roman"/>
          <w:i/>
          <w:iCs/>
          <w:color w:val="2F5496" w:themeColor="accent1" w:themeShade="BF"/>
        </w:rPr>
        <w:t>z</w:t>
      </w:r>
      <w:r w:rsidRPr="006846F4">
        <w:rPr>
          <w:rFonts w:ascii="Times New Roman" w:eastAsiaTheme="minorEastAsia" w:hAnsi="Times New Roman" w:cs="Times New Roman"/>
          <w:color w:val="2F5496" w:themeColor="accent1" w:themeShade="BF"/>
        </w:rPr>
        <w:t xml:space="preserve">; </w:t>
      </w:r>
      <w:r w:rsidRPr="006846F4">
        <w:rPr>
          <w:rFonts w:ascii="Times New Roman" w:eastAsiaTheme="minorEastAsia" w:hAnsi="Times New Roman" w:cs="Times New Roman"/>
          <w:b/>
          <w:bCs/>
          <w:i/>
          <w:iCs/>
          <w:color w:val="2F5496" w:themeColor="accent1" w:themeShade="BF"/>
        </w:rPr>
        <w:t>s(z)</w:t>
      </w:r>
      <w:r w:rsidRPr="006846F4">
        <w:rPr>
          <w:rFonts w:ascii="Times New Roman" w:eastAsiaTheme="minorEastAsia" w:hAnsi="Times New Roman" w:cs="Times New Roman"/>
          <w:color w:val="2F5496" w:themeColor="accent1" w:themeShade="BF"/>
        </w:rPr>
        <w:t xml:space="preserve">=probability of survival as a function of size </w:t>
      </w:r>
      <w:r w:rsidRPr="006846F4">
        <w:rPr>
          <w:rFonts w:ascii="Times New Roman" w:eastAsiaTheme="minorEastAsia" w:hAnsi="Times New Roman" w:cs="Times New Roman"/>
          <w:i/>
          <w:iCs/>
          <w:color w:val="2F5496" w:themeColor="accent1" w:themeShade="BF"/>
        </w:rPr>
        <w:t>z</w:t>
      </w:r>
      <w:r w:rsidRPr="006846F4">
        <w:rPr>
          <w:rFonts w:ascii="Times New Roman" w:eastAsiaTheme="minorEastAsia" w:hAnsi="Times New Roman" w:cs="Times New Roman"/>
          <w:color w:val="2F5496" w:themeColor="accent1" w:themeShade="BF"/>
        </w:rPr>
        <w:t xml:space="preserve">; </w:t>
      </w:r>
      <w:r w:rsidRPr="006846F4">
        <w:rPr>
          <w:rFonts w:ascii="Times New Roman" w:eastAsiaTheme="minorEastAsia" w:hAnsi="Times New Roman" w:cs="Times New Roman"/>
          <w:b/>
          <w:bCs/>
          <w:color w:val="2F5496" w:themeColor="accent1" w:themeShade="BF"/>
        </w:rPr>
        <w:t>G(</w:t>
      </w:r>
      <w:proofErr w:type="spellStart"/>
      <w:r w:rsidRPr="006846F4">
        <w:rPr>
          <w:rFonts w:ascii="Times New Roman" w:eastAsiaTheme="minorEastAsia" w:hAnsi="Times New Roman" w:cs="Times New Roman"/>
          <w:b/>
          <w:bCs/>
          <w:color w:val="2F5496" w:themeColor="accent1" w:themeShade="BF"/>
        </w:rPr>
        <w:t>z’,z</w:t>
      </w:r>
      <w:proofErr w:type="spellEnd"/>
      <w:r w:rsidRPr="006846F4">
        <w:rPr>
          <w:rFonts w:ascii="Times New Roman" w:eastAsiaTheme="minorEastAsia" w:hAnsi="Times New Roman" w:cs="Times New Roman"/>
          <w:b/>
          <w:bCs/>
          <w:color w:val="2F5496" w:themeColor="accent1" w:themeShade="BF"/>
        </w:rPr>
        <w:t>)</w:t>
      </w:r>
      <w:r w:rsidRPr="006846F4">
        <w:rPr>
          <w:rFonts w:ascii="Times New Roman" w:eastAsiaTheme="minorEastAsia" w:hAnsi="Times New Roman" w:cs="Times New Roman"/>
          <w:color w:val="2F5496" w:themeColor="accent1" w:themeShade="BF"/>
        </w:rPr>
        <w:t xml:space="preserve">=probability of growth to size </w:t>
      </w:r>
      <w:r w:rsidRPr="006846F4">
        <w:rPr>
          <w:rFonts w:ascii="Times New Roman" w:eastAsiaTheme="minorEastAsia" w:hAnsi="Times New Roman" w:cs="Times New Roman"/>
          <w:i/>
          <w:iCs/>
          <w:color w:val="2F5496" w:themeColor="accent1" w:themeShade="BF"/>
        </w:rPr>
        <w:t xml:space="preserve">z’ </w:t>
      </w:r>
      <w:r w:rsidRPr="006846F4">
        <w:rPr>
          <w:rFonts w:ascii="Times New Roman" w:eastAsiaTheme="minorEastAsia" w:hAnsi="Times New Roman" w:cs="Times New Roman"/>
          <w:color w:val="2F5496" w:themeColor="accent1" w:themeShade="BF"/>
        </w:rPr>
        <w:t xml:space="preserve">as a function of size </w:t>
      </w:r>
      <w:r w:rsidRPr="006846F4">
        <w:rPr>
          <w:rFonts w:ascii="Times New Roman" w:eastAsiaTheme="minorEastAsia" w:hAnsi="Times New Roman" w:cs="Times New Roman"/>
          <w:i/>
          <w:iCs/>
          <w:color w:val="2F5496" w:themeColor="accent1" w:themeShade="BF"/>
        </w:rPr>
        <w:t>z</w:t>
      </w:r>
      <w:r w:rsidRPr="006846F4">
        <w:rPr>
          <w:rFonts w:ascii="Times New Roman" w:eastAsiaTheme="minorEastAsia" w:hAnsi="Times New Roman" w:cs="Times New Roman"/>
          <w:color w:val="2F5496" w:themeColor="accent1" w:themeShade="BF"/>
        </w:rPr>
        <w:t xml:space="preserve">; </w:t>
      </w:r>
      <w:r w:rsidRPr="006846F4">
        <w:rPr>
          <w:rFonts w:ascii="Times New Roman" w:eastAsiaTheme="minorEastAsia" w:hAnsi="Times New Roman" w:cs="Times New Roman"/>
          <w:b/>
          <w:bCs/>
          <w:i/>
          <w:iCs/>
          <w:color w:val="2F5496" w:themeColor="accent1" w:themeShade="BF"/>
        </w:rPr>
        <w:t>c</w:t>
      </w:r>
      <w:r w:rsidRPr="006846F4">
        <w:rPr>
          <w:rFonts w:ascii="Times New Roman" w:eastAsiaTheme="minorEastAsia" w:hAnsi="Times New Roman" w:cs="Times New Roman"/>
          <w:b/>
          <w:bCs/>
          <w:i/>
          <w:iCs/>
          <w:color w:val="2F5496" w:themeColor="accent1" w:themeShade="BF"/>
          <w:vertAlign w:val="subscript"/>
        </w:rPr>
        <w:t>0</w:t>
      </w:r>
      <w:r w:rsidRPr="006846F4">
        <w:rPr>
          <w:rFonts w:ascii="Times New Roman" w:eastAsiaTheme="minorEastAsia" w:hAnsi="Times New Roman" w:cs="Times New Roman"/>
          <w:b/>
          <w:bCs/>
          <w:i/>
          <w:iCs/>
          <w:color w:val="2F5496" w:themeColor="accent1" w:themeShade="BF"/>
        </w:rPr>
        <w:t>(z’)</w:t>
      </w:r>
      <w:r w:rsidRPr="006846F4">
        <w:rPr>
          <w:rFonts w:ascii="Times New Roman" w:eastAsiaTheme="minorEastAsia" w:hAnsi="Times New Roman" w:cs="Times New Roman"/>
          <w:color w:val="2F5496" w:themeColor="accent1" w:themeShade="BF"/>
        </w:rPr>
        <w:t xml:space="preserve">=size distribution of new recruits; </w:t>
      </w:r>
      <w:r w:rsidRPr="006846F4">
        <w:rPr>
          <w:rFonts w:ascii="Times New Roman" w:eastAsiaTheme="minorEastAsia" w:hAnsi="Times New Roman" w:cs="Times New Roman"/>
          <w:b/>
          <w:bCs/>
          <w:i/>
          <w:iCs/>
          <w:color w:val="2F5496" w:themeColor="accent1" w:themeShade="BF"/>
        </w:rPr>
        <w:t>b(z)</w:t>
      </w:r>
      <w:r w:rsidRPr="006846F4">
        <w:rPr>
          <w:rFonts w:ascii="Times New Roman" w:eastAsiaTheme="minorEastAsia" w:hAnsi="Times New Roman" w:cs="Times New Roman"/>
          <w:color w:val="2F5496" w:themeColor="accent1" w:themeShade="BF"/>
        </w:rPr>
        <w:t xml:space="preserve">=number of offspring produced per individual as a function of size </w:t>
      </w:r>
      <w:r w:rsidRPr="006846F4">
        <w:rPr>
          <w:rFonts w:ascii="Times New Roman" w:eastAsiaTheme="minorEastAsia" w:hAnsi="Times New Roman" w:cs="Times New Roman"/>
          <w:i/>
          <w:iCs/>
          <w:color w:val="2F5496" w:themeColor="accent1" w:themeShade="BF"/>
        </w:rPr>
        <w:t>z</w:t>
      </w:r>
      <w:r w:rsidRPr="006846F4">
        <w:rPr>
          <w:rFonts w:ascii="Times New Roman" w:eastAsiaTheme="minorEastAsia" w:hAnsi="Times New Roman" w:cs="Times New Roman"/>
          <w:color w:val="2F5496" w:themeColor="accent1" w:themeShade="BF"/>
        </w:rPr>
        <w:t xml:space="preserve">; </w:t>
      </w:r>
      <w:r w:rsidRPr="006846F4">
        <w:rPr>
          <w:rFonts w:ascii="Times New Roman" w:eastAsiaTheme="minorEastAsia" w:hAnsi="Times New Roman" w:cs="Times New Roman"/>
          <w:b/>
          <w:bCs/>
          <w:i/>
          <w:iCs/>
          <w:color w:val="2F5496" w:themeColor="accent1" w:themeShade="BF"/>
        </w:rPr>
        <w:t>B(t)</w:t>
      </w:r>
      <w:r w:rsidRPr="006846F4">
        <w:rPr>
          <w:rFonts w:ascii="Times New Roman" w:eastAsiaTheme="minorEastAsia" w:hAnsi="Times New Roman" w:cs="Times New Roman"/>
          <w:color w:val="2F5496" w:themeColor="accent1" w:themeShade="BF"/>
        </w:rPr>
        <w:t xml:space="preserve">=size of seedbank in year </w:t>
      </w:r>
      <w:r w:rsidRPr="006846F4">
        <w:rPr>
          <w:rFonts w:ascii="Times New Roman" w:eastAsiaTheme="minorEastAsia" w:hAnsi="Times New Roman" w:cs="Times New Roman"/>
          <w:i/>
          <w:iCs/>
          <w:color w:val="2F5496" w:themeColor="accent1" w:themeShade="BF"/>
        </w:rPr>
        <w:t>t</w:t>
      </w:r>
      <w:r w:rsidRPr="006846F4">
        <w:rPr>
          <w:rFonts w:ascii="Times New Roman" w:eastAsiaTheme="minorEastAsia" w:hAnsi="Times New Roman" w:cs="Times New Roman"/>
          <w:color w:val="2F5496" w:themeColor="accent1" w:themeShade="BF"/>
        </w:rPr>
        <w:t xml:space="preserve">; </w:t>
      </w:r>
      <w:r w:rsidRPr="006846F4">
        <w:rPr>
          <w:rFonts w:ascii="Times New Roman" w:eastAsiaTheme="minorEastAsia" w:hAnsi="Times New Roman" w:cs="Times New Roman"/>
          <w:b/>
          <w:bCs/>
          <w:i/>
          <w:iCs/>
          <w:color w:val="2F5496" w:themeColor="accent1" w:themeShade="BF"/>
        </w:rPr>
        <w:t>U</w:t>
      </w:r>
      <w:r w:rsidRPr="006846F4">
        <w:rPr>
          <w:rFonts w:ascii="Times New Roman" w:eastAsiaTheme="minorEastAsia" w:hAnsi="Times New Roman" w:cs="Times New Roman"/>
          <w:color w:val="2F5496" w:themeColor="accent1" w:themeShade="BF"/>
        </w:rPr>
        <w:t xml:space="preserve">=upper limit of plant size; </w:t>
      </w:r>
      <w:r w:rsidRPr="006846F4">
        <w:rPr>
          <w:rFonts w:ascii="Times New Roman" w:eastAsiaTheme="minorEastAsia" w:hAnsi="Times New Roman" w:cs="Times New Roman"/>
          <w:b/>
          <w:bCs/>
          <w:i/>
          <w:iCs/>
          <w:color w:val="2F5496" w:themeColor="accent1" w:themeShade="BF"/>
        </w:rPr>
        <w:t>L</w:t>
      </w:r>
      <w:r w:rsidRPr="006846F4">
        <w:rPr>
          <w:rFonts w:ascii="Times New Roman" w:eastAsiaTheme="minorEastAsia" w:hAnsi="Times New Roman" w:cs="Times New Roman"/>
          <w:color w:val="2F5496" w:themeColor="accent1" w:themeShade="BF"/>
        </w:rPr>
        <w:t xml:space="preserve">=lower limit of plant size; </w:t>
      </w:r>
      <w:r w:rsidRPr="006846F4">
        <w:rPr>
          <w:rFonts w:ascii="Times New Roman" w:eastAsiaTheme="minorEastAsia" w:hAnsi="Times New Roman" w:cs="Times New Roman"/>
          <w:b/>
          <w:bCs/>
          <w:i/>
          <w:iCs/>
          <w:color w:val="2F5496" w:themeColor="accent1" w:themeShade="BF"/>
        </w:rPr>
        <w:t>n(</w:t>
      </w:r>
      <w:proofErr w:type="spellStart"/>
      <w:r w:rsidRPr="006846F4">
        <w:rPr>
          <w:rFonts w:ascii="Times New Roman" w:eastAsiaTheme="minorEastAsia" w:hAnsi="Times New Roman" w:cs="Times New Roman"/>
          <w:b/>
          <w:bCs/>
          <w:i/>
          <w:iCs/>
          <w:color w:val="2F5496" w:themeColor="accent1" w:themeShade="BF"/>
        </w:rPr>
        <w:t>z,t</w:t>
      </w:r>
      <w:proofErr w:type="spellEnd"/>
      <w:r w:rsidRPr="006846F4">
        <w:rPr>
          <w:rFonts w:ascii="Times New Roman" w:eastAsiaTheme="minorEastAsia" w:hAnsi="Times New Roman" w:cs="Times New Roman"/>
          <w:b/>
          <w:bCs/>
          <w:i/>
          <w:iCs/>
          <w:color w:val="2F5496" w:themeColor="accent1" w:themeShade="BF"/>
        </w:rPr>
        <w:t>)/n(z,t-1)</w:t>
      </w:r>
      <w:r w:rsidRPr="006846F4">
        <w:rPr>
          <w:rFonts w:ascii="Times New Roman" w:eastAsiaTheme="minorEastAsia" w:hAnsi="Times New Roman" w:cs="Times New Roman"/>
          <w:color w:val="2F5496" w:themeColor="accent1" w:themeShade="BF"/>
        </w:rPr>
        <w:t xml:space="preserve">=number of individuals in year </w:t>
      </w:r>
      <w:r w:rsidRPr="006846F4">
        <w:rPr>
          <w:rFonts w:ascii="Times New Roman" w:eastAsiaTheme="minorEastAsia" w:hAnsi="Times New Roman" w:cs="Times New Roman"/>
          <w:i/>
          <w:iCs/>
          <w:color w:val="2F5496" w:themeColor="accent1" w:themeShade="BF"/>
        </w:rPr>
        <w:t>t</w:t>
      </w:r>
      <w:r w:rsidRPr="006846F4">
        <w:rPr>
          <w:rFonts w:ascii="Times New Roman" w:eastAsiaTheme="minorEastAsia" w:hAnsi="Times New Roman" w:cs="Times New Roman"/>
          <w:color w:val="2F5496" w:themeColor="accent1" w:themeShade="BF"/>
        </w:rPr>
        <w:t xml:space="preserve"> (or </w:t>
      </w:r>
      <w:r w:rsidRPr="006846F4">
        <w:rPr>
          <w:rFonts w:ascii="Times New Roman" w:eastAsiaTheme="minorEastAsia" w:hAnsi="Times New Roman" w:cs="Times New Roman"/>
          <w:i/>
          <w:iCs/>
          <w:color w:val="2F5496" w:themeColor="accent1" w:themeShade="BF"/>
        </w:rPr>
        <w:t>t-1</w:t>
      </w:r>
      <w:r w:rsidRPr="006846F4">
        <w:rPr>
          <w:rFonts w:ascii="Times New Roman" w:eastAsiaTheme="minorEastAsia" w:hAnsi="Times New Roman" w:cs="Times New Roman"/>
          <w:color w:val="2F5496" w:themeColor="accent1" w:themeShade="BF"/>
        </w:rPr>
        <w:t xml:space="preserve">) as a function of size </w:t>
      </w:r>
      <w:r w:rsidRPr="006846F4">
        <w:rPr>
          <w:rFonts w:ascii="Times New Roman" w:eastAsiaTheme="minorEastAsia" w:hAnsi="Times New Roman" w:cs="Times New Roman"/>
          <w:i/>
          <w:iCs/>
          <w:color w:val="2F5496" w:themeColor="accent1" w:themeShade="BF"/>
        </w:rPr>
        <w:t xml:space="preserve">z </w:t>
      </w:r>
    </w:p>
    <w:p w14:paraId="2B9C714A" w14:textId="77777777" w:rsidR="006846F4" w:rsidRPr="006846F4" w:rsidRDefault="006846F4" w:rsidP="006846F4">
      <w:pPr>
        <w:pStyle w:val="ListParagraph"/>
        <w:numPr>
          <w:ilvl w:val="0"/>
          <w:numId w:val="5"/>
        </w:numPr>
        <w:spacing w:before="120"/>
        <w:rPr>
          <w:rFonts w:ascii="Times New Roman" w:eastAsiaTheme="minorEastAsia" w:hAnsi="Times New Roman" w:cs="Times New Roman"/>
          <w:color w:val="2F5496" w:themeColor="accent1" w:themeShade="BF"/>
        </w:rPr>
      </w:pPr>
      <w:r w:rsidRPr="006846F4">
        <w:rPr>
          <w:rFonts w:ascii="Times New Roman" w:eastAsiaTheme="minorEastAsia" w:hAnsi="Times New Roman" w:cs="Times New Roman"/>
          <w:color w:val="2F5496" w:themeColor="accent1" w:themeShade="BF"/>
        </w:rPr>
        <w:t xml:space="preserve">This function is added to describe the size of the discrete seedbank stage in year </w:t>
      </w:r>
      <w:r w:rsidRPr="006846F4">
        <w:rPr>
          <w:rFonts w:ascii="Times New Roman" w:eastAsiaTheme="minorEastAsia" w:hAnsi="Times New Roman" w:cs="Times New Roman"/>
          <w:i/>
          <w:iCs/>
          <w:color w:val="2F5496" w:themeColor="accent1" w:themeShade="BF"/>
        </w:rPr>
        <w:t>t+1</w:t>
      </w:r>
      <w:r w:rsidRPr="006846F4">
        <w:rPr>
          <w:rFonts w:ascii="Times New Roman" w:eastAsiaTheme="minorEastAsia" w:hAnsi="Times New Roman" w:cs="Times New Roman"/>
          <w:color w:val="2F5496" w:themeColor="accent1" w:themeShade="BF"/>
        </w:rPr>
        <w:t xml:space="preserve"> (</w:t>
      </w:r>
      <w:r w:rsidRPr="006846F4">
        <w:rPr>
          <w:rFonts w:ascii="Times New Roman" w:eastAsiaTheme="minorEastAsia" w:hAnsi="Times New Roman" w:cs="Times New Roman"/>
          <w:b/>
          <w:bCs/>
          <w:i/>
          <w:iCs/>
          <w:color w:val="2F5496" w:themeColor="accent1" w:themeShade="BF"/>
        </w:rPr>
        <w:t>B(t+1)</w:t>
      </w:r>
      <w:r w:rsidRPr="006846F4">
        <w:rPr>
          <w:rFonts w:ascii="Times New Roman" w:eastAsiaTheme="minorEastAsia" w:hAnsi="Times New Roman" w:cs="Times New Roman"/>
          <w:color w:val="2F5496" w:themeColor="accent1" w:themeShade="BF"/>
        </w:rPr>
        <w:t>):</w:t>
      </w:r>
    </w:p>
    <w:p w14:paraId="2BB2F4BB" w14:textId="77777777" w:rsidR="006846F4" w:rsidRPr="006846F4" w:rsidRDefault="006846F4" w:rsidP="006846F4">
      <w:pPr>
        <w:spacing w:before="120"/>
        <w:rPr>
          <w:rFonts w:ascii="Times New Roman" w:eastAsiaTheme="minorEastAsia" w:hAnsi="Times New Roman" w:cs="Times New Roman"/>
          <w:color w:val="2F5496" w:themeColor="accent1" w:themeShade="BF"/>
        </w:rPr>
      </w:pPr>
      <m:oMathPara>
        <m:oMathParaPr>
          <m:jc m:val="left"/>
        </m:oMathParaPr>
        <m:oMath>
          <m:r>
            <w:rPr>
              <w:rFonts w:ascii="Cambria Math" w:eastAsiaTheme="minorEastAsia" w:hAnsi="Cambria Math" w:cs="Times New Roman"/>
              <w:color w:val="2F5496" w:themeColor="accent1" w:themeShade="BF"/>
            </w:rPr>
            <m:t>B</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t+1</m:t>
              </m:r>
            </m:e>
          </m:d>
          <m:r>
            <w:rPr>
              <w:rFonts w:ascii="Cambria Math" w:eastAsiaTheme="minorEastAsia" w:hAnsi="Cambria Math" w:cs="Times New Roman"/>
              <w:color w:val="2F5496" w:themeColor="accent1" w:themeShade="BF"/>
            </w:rPr>
            <m:t>=</m:t>
          </m:r>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P</m:t>
              </m:r>
            </m:e>
            <m:sub>
              <m:r>
                <w:rPr>
                  <w:rFonts w:ascii="Cambria Math" w:eastAsiaTheme="minorEastAsia" w:hAnsi="Cambria Math" w:cs="Times New Roman"/>
                  <w:color w:val="2F5496" w:themeColor="accent1" w:themeShade="BF"/>
                </w:rPr>
                <m:t>SBstay</m:t>
              </m:r>
            </m:sub>
          </m:sSub>
          <m:r>
            <w:rPr>
              <w:rFonts w:ascii="Cambria Math" w:eastAsiaTheme="minorEastAsia" w:hAnsi="Cambria Math" w:cs="Times New Roman"/>
              <w:color w:val="2F5496" w:themeColor="accent1" w:themeShade="BF"/>
            </w:rPr>
            <m:t>B</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t</m:t>
              </m:r>
            </m:e>
          </m:d>
          <m:r>
            <w:rPr>
              <w:rFonts w:ascii="Cambria Math" w:eastAsiaTheme="minorEastAsia" w:hAnsi="Cambria Math" w:cs="Times New Roman"/>
              <w:color w:val="2F5496" w:themeColor="accent1" w:themeShade="BF"/>
            </w:rPr>
            <m:t xml:space="preserve">+ </m:t>
          </m:r>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P</m:t>
              </m:r>
            </m:e>
            <m:sub>
              <m:r>
                <w:rPr>
                  <w:rFonts w:ascii="Cambria Math" w:eastAsiaTheme="minorEastAsia" w:hAnsi="Cambria Math" w:cs="Times New Roman"/>
                  <w:color w:val="2F5496" w:themeColor="accent1" w:themeShade="BF"/>
                </w:rPr>
                <m:t>goSB</m:t>
              </m:r>
            </m:sub>
          </m:sSub>
          <m:nary>
            <m:naryPr>
              <m:limLoc m:val="subSup"/>
              <m:ctrlPr>
                <w:rPr>
                  <w:rFonts w:ascii="Cambria Math" w:eastAsiaTheme="minorEastAsia" w:hAnsi="Cambria Math" w:cs="Times New Roman"/>
                  <w:i/>
                  <w:color w:val="2F5496" w:themeColor="accent1" w:themeShade="BF"/>
                </w:rPr>
              </m:ctrlPr>
            </m:naryPr>
            <m:sub>
              <m:r>
                <w:rPr>
                  <w:rFonts w:ascii="Cambria Math" w:eastAsiaTheme="minorEastAsia" w:hAnsi="Cambria Math" w:cs="Times New Roman"/>
                  <w:color w:val="2F5496" w:themeColor="accent1" w:themeShade="BF"/>
                </w:rPr>
                <m:t>L</m:t>
              </m:r>
            </m:sub>
            <m:sup>
              <m:r>
                <w:rPr>
                  <w:rFonts w:ascii="Cambria Math" w:eastAsiaTheme="minorEastAsia" w:hAnsi="Cambria Math" w:cs="Times New Roman"/>
                  <w:color w:val="2F5496" w:themeColor="accent1" w:themeShade="BF"/>
                </w:rPr>
                <m:t>U</m:t>
              </m:r>
            </m:sup>
            <m:e>
              <m:sSub>
                <m:sSubPr>
                  <m:ctrlPr>
                    <w:rPr>
                      <w:rFonts w:ascii="Cambria Math" w:eastAsiaTheme="minorEastAsia" w:hAnsi="Cambria Math" w:cs="Times New Roman"/>
                      <w:i/>
                      <w:color w:val="2F5496" w:themeColor="accent1" w:themeShade="BF"/>
                    </w:rPr>
                  </m:ctrlPr>
                </m:sSubPr>
                <m:e>
                  <m:r>
                    <w:rPr>
                      <w:rFonts w:ascii="Cambria Math" w:eastAsiaTheme="minorEastAsia" w:hAnsi="Cambria Math" w:cs="Times New Roman"/>
                      <w:color w:val="2F5496" w:themeColor="accent1" w:themeShade="BF"/>
                    </w:rPr>
                    <m:t>p</m:t>
                  </m:r>
                </m:e>
                <m:sub>
                  <m:r>
                    <w:rPr>
                      <w:rFonts w:ascii="Cambria Math" w:eastAsiaTheme="minorEastAsia" w:hAnsi="Cambria Math" w:cs="Times New Roman"/>
                      <w:color w:val="2F5496" w:themeColor="accent1" w:themeShade="BF"/>
                    </w:rPr>
                    <m:t>b</m:t>
                  </m:r>
                </m:sub>
              </m:sSub>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z</m:t>
                  </m:r>
                </m:e>
              </m:d>
              <m:r>
                <w:rPr>
                  <w:rFonts w:ascii="Cambria Math" w:eastAsiaTheme="minorEastAsia" w:hAnsi="Cambria Math" w:cs="Times New Roman"/>
                  <w:color w:val="2F5496" w:themeColor="accent1" w:themeShade="BF"/>
                </w:rPr>
                <m:t>b</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z</m:t>
                  </m:r>
                </m:e>
              </m:d>
              <m:r>
                <w:rPr>
                  <w:rFonts w:ascii="Cambria Math" w:eastAsiaTheme="minorEastAsia" w:hAnsi="Cambria Math" w:cs="Times New Roman"/>
                  <w:color w:val="2F5496" w:themeColor="accent1" w:themeShade="BF"/>
                </w:rPr>
                <m:t>n(z,t)dz</m:t>
              </m:r>
            </m:e>
          </m:nary>
        </m:oMath>
      </m:oMathPara>
    </w:p>
    <w:p w14:paraId="3216D3EE" w14:textId="64796118" w:rsidR="006846F4" w:rsidRPr="006846F4" w:rsidRDefault="006846F4" w:rsidP="006846F4">
      <w:pPr>
        <w:rPr>
          <w:rFonts w:ascii="Times New Roman" w:hAnsi="Times New Roman" w:cs="Times New Roman"/>
          <w:color w:val="000000" w:themeColor="text1"/>
        </w:rPr>
      </w:pPr>
      <w:r w:rsidRPr="006846F4">
        <w:rPr>
          <w:rFonts w:ascii="Times New Roman" w:hAnsi="Times New Roman" w:cs="Times New Roman"/>
          <w:noProof/>
        </w:rPr>
        <w:lastRenderedPageBreak/>
        <w:drawing>
          <wp:inline distT="0" distB="0" distL="0" distR="0" wp14:anchorId="69D70CC6" wp14:editId="1F8EC8A9">
            <wp:extent cx="3478306" cy="2512960"/>
            <wp:effectExtent l="0" t="0" r="1905" b="1905"/>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ritten exam figur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3755" cy="2516896"/>
                    </a:xfrm>
                    <a:prstGeom prst="rect">
                      <a:avLst/>
                    </a:prstGeom>
                  </pic:spPr>
                </pic:pic>
              </a:graphicData>
            </a:graphic>
          </wp:inline>
        </w:drawing>
      </w:r>
    </w:p>
    <w:p w14:paraId="68EA01AB" w14:textId="3112EE5E" w:rsidR="00F04184" w:rsidRPr="00EE3D1B" w:rsidRDefault="00CF1281" w:rsidP="00F04184">
      <w:pPr>
        <w:pStyle w:val="ListParagraph"/>
        <w:numPr>
          <w:ilvl w:val="0"/>
          <w:numId w:val="1"/>
        </w:numPr>
        <w:rPr>
          <w:rFonts w:ascii="Times New Roman" w:hAnsi="Times New Roman" w:cs="Times New Roman"/>
          <w:color w:val="000000" w:themeColor="text1"/>
        </w:rPr>
      </w:pPr>
      <w:r w:rsidRPr="00EE3D1B">
        <w:rPr>
          <w:rFonts w:ascii="Times New Roman" w:hAnsi="Times New Roman" w:cs="Times New Roman"/>
          <w:color w:val="000000" w:themeColor="text1"/>
        </w:rPr>
        <w:t>Density dependence</w:t>
      </w:r>
    </w:p>
    <w:p w14:paraId="3BA3D3D0" w14:textId="77777777" w:rsidR="00CF1281" w:rsidRPr="00EE3D1B" w:rsidRDefault="00CF1281" w:rsidP="00CF1281">
      <w:pPr>
        <w:pStyle w:val="ListParagraph"/>
        <w:numPr>
          <w:ilvl w:val="1"/>
          <w:numId w:val="1"/>
        </w:numPr>
        <w:rPr>
          <w:rFonts w:ascii="Times New Roman" w:hAnsi="Times New Roman" w:cs="Times New Roman"/>
          <w:color w:val="000000" w:themeColor="text1"/>
        </w:rPr>
      </w:pPr>
      <w:r w:rsidRPr="00EE3D1B">
        <w:rPr>
          <w:rFonts w:ascii="Calibri" w:hAnsi="Calibri" w:cs="Calibri"/>
          <w:color w:val="000000" w:themeColor="text1"/>
        </w:rPr>
        <w:t>﻿</w:t>
      </w:r>
      <w:r w:rsidRPr="00EE3D1B">
        <w:rPr>
          <w:rFonts w:ascii="Times New Roman" w:hAnsi="Times New Roman" w:cs="Times New Roman"/>
          <w:color w:val="000000" w:themeColor="text1"/>
        </w:rPr>
        <w:t xml:space="preserve">fit both density-dependent and density-independent models to the census data—for each plot, as well as the entire population. </w:t>
      </w:r>
    </w:p>
    <w:p w14:paraId="7123A904" w14:textId="55EC34B6" w:rsidR="00CF1281" w:rsidRPr="00EE3D1B" w:rsidRDefault="00CF1281" w:rsidP="00CF1281">
      <w:pPr>
        <w:pStyle w:val="ListParagraph"/>
        <w:numPr>
          <w:ilvl w:val="2"/>
          <w:numId w:val="1"/>
        </w:numPr>
        <w:rPr>
          <w:rFonts w:ascii="Times New Roman" w:hAnsi="Times New Roman" w:cs="Times New Roman"/>
          <w:color w:val="000000" w:themeColor="text1"/>
        </w:rPr>
      </w:pPr>
      <w:r w:rsidRPr="00EE3D1B">
        <w:rPr>
          <w:rFonts w:ascii="Times New Roman" w:hAnsi="Times New Roman" w:cs="Times New Roman"/>
          <w:b/>
          <w:bCs/>
          <w:color w:val="000000" w:themeColor="text1"/>
        </w:rPr>
        <w:t xml:space="preserve">Model abundance at time </w:t>
      </w:r>
      <w:r w:rsidRPr="00EE3D1B">
        <w:rPr>
          <w:rFonts w:ascii="Times New Roman" w:hAnsi="Times New Roman" w:cs="Times New Roman"/>
          <w:b/>
          <w:bCs/>
          <w:i/>
          <w:iCs/>
          <w:color w:val="000000" w:themeColor="text1"/>
        </w:rPr>
        <w:t>t + 1</w:t>
      </w:r>
      <w:r w:rsidRPr="00EE3D1B">
        <w:rPr>
          <w:rFonts w:ascii="Times New Roman" w:hAnsi="Times New Roman" w:cs="Times New Roman"/>
          <w:b/>
          <w:bCs/>
          <w:color w:val="000000" w:themeColor="text1"/>
        </w:rPr>
        <w:t xml:space="preserve"> as a negative binomial mixed model</w:t>
      </w:r>
      <w:r w:rsidRPr="00EE3D1B">
        <w:rPr>
          <w:rFonts w:ascii="Times New Roman" w:hAnsi="Times New Roman" w:cs="Times New Roman"/>
          <w:color w:val="000000" w:themeColor="text1"/>
        </w:rPr>
        <w:t xml:space="preserve"> </w:t>
      </w:r>
      <w:r w:rsidR="00F63410"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w:t>
      </w:r>
      <w:proofErr w:type="spellStart"/>
      <w:r w:rsidRPr="00EE3D1B">
        <w:rPr>
          <w:rFonts w:ascii="Times New Roman" w:hAnsi="Times New Roman" w:cs="Times New Roman"/>
          <w:color w:val="000000" w:themeColor="text1"/>
        </w:rPr>
        <w:t>glmm</w:t>
      </w:r>
      <w:proofErr w:type="spellEnd"/>
      <w:r w:rsidRPr="00EE3D1B">
        <w:rPr>
          <w:rFonts w:ascii="Times New Roman" w:hAnsi="Times New Roman" w:cs="Times New Roman"/>
          <w:color w:val="000000" w:themeColor="text1"/>
        </w:rPr>
        <w:t>) with an offset for log(</w:t>
      </w:r>
      <w:proofErr w:type="spellStart"/>
      <w:r w:rsidRPr="00EE3D1B">
        <w:rPr>
          <w:rFonts w:ascii="Times New Roman" w:hAnsi="Times New Roman" w:cs="Times New Roman"/>
          <w:color w:val="000000" w:themeColor="text1"/>
        </w:rPr>
        <w:t>Nt</w:t>
      </w:r>
      <w:proofErr w:type="spellEnd"/>
      <w:r w:rsidRPr="00EE3D1B">
        <w:rPr>
          <w:rFonts w:ascii="Times New Roman" w:hAnsi="Times New Roman" w:cs="Times New Roman"/>
          <w:color w:val="000000" w:themeColor="text1"/>
        </w:rPr>
        <w:t>), following the general approach of Abbott et al. (2017) and Brown</w:t>
      </w:r>
      <w:r w:rsidRPr="00EE3D1B">
        <w:rPr>
          <w:color w:val="000000" w:themeColor="text1"/>
        </w:rPr>
        <w:t xml:space="preserve"> </w:t>
      </w:r>
      <w:r w:rsidRPr="00EE3D1B">
        <w:rPr>
          <w:rFonts w:ascii="Calibri" w:hAnsi="Calibri" w:cs="Calibri"/>
          <w:color w:val="000000" w:themeColor="text1"/>
        </w:rPr>
        <w:t>﻿</w:t>
      </w:r>
      <w:r w:rsidRPr="00EE3D1B">
        <w:rPr>
          <w:rFonts w:ascii="Times New Roman" w:hAnsi="Times New Roman" w:cs="Times New Roman"/>
          <w:color w:val="000000" w:themeColor="text1"/>
        </w:rPr>
        <w:t xml:space="preserve">and Crone (2016). </w:t>
      </w:r>
    </w:p>
    <w:p w14:paraId="0C6EEE22" w14:textId="77777777" w:rsidR="00911885" w:rsidRPr="00EE3D1B" w:rsidRDefault="00CF1281" w:rsidP="00911885">
      <w:pPr>
        <w:pStyle w:val="ListParagraph"/>
        <w:numPr>
          <w:ilvl w:val="2"/>
          <w:numId w:val="1"/>
        </w:numPr>
        <w:rPr>
          <w:rFonts w:ascii="Times New Roman" w:hAnsi="Times New Roman" w:cs="Times New Roman"/>
          <w:color w:val="000000" w:themeColor="text1"/>
        </w:rPr>
      </w:pPr>
      <w:r w:rsidRPr="00EE3D1B">
        <w:rPr>
          <w:rFonts w:ascii="Times New Roman" w:hAnsi="Times New Roman" w:cs="Times New Roman"/>
          <w:b/>
          <w:bCs/>
          <w:color w:val="000000" w:themeColor="text1"/>
        </w:rPr>
        <w:t>Compare Ricker models</w:t>
      </w:r>
      <w:r w:rsidRPr="00EE3D1B">
        <w:rPr>
          <w:rFonts w:ascii="Times New Roman" w:hAnsi="Times New Roman" w:cs="Times New Roman"/>
          <w:color w:val="000000" w:themeColor="text1"/>
        </w:rPr>
        <w:t xml:space="preserve">, which include a fixed effect of abundance at time </w:t>
      </w:r>
      <w:r w:rsidRPr="00EE3D1B">
        <w:rPr>
          <w:rFonts w:ascii="Times New Roman" w:hAnsi="Times New Roman" w:cs="Times New Roman"/>
          <w:i/>
          <w:iCs/>
          <w:color w:val="000000" w:themeColor="text1"/>
        </w:rPr>
        <w:t xml:space="preserve">t </w:t>
      </w:r>
      <w:r w:rsidRPr="00EE3D1B">
        <w:rPr>
          <w:rFonts w:ascii="Times New Roman" w:hAnsi="Times New Roman" w:cs="Times New Roman"/>
          <w:color w:val="000000" w:themeColor="text1"/>
        </w:rPr>
        <w:t xml:space="preserve">(Ricker 1954), to density-independent models. </w:t>
      </w:r>
    </w:p>
    <w:p w14:paraId="02F4360A" w14:textId="39B53C7D" w:rsidR="003C253E" w:rsidRPr="00EE3D1B" w:rsidRDefault="00CF1281" w:rsidP="00911885">
      <w:pPr>
        <w:pStyle w:val="ListParagraph"/>
        <w:numPr>
          <w:ilvl w:val="2"/>
          <w:numId w:val="1"/>
        </w:numPr>
        <w:rPr>
          <w:rFonts w:ascii="Times New Roman" w:hAnsi="Times New Roman" w:cs="Times New Roman"/>
          <w:color w:val="000000" w:themeColor="text1"/>
        </w:rPr>
      </w:pPr>
      <w:r w:rsidRPr="00EE3D1B">
        <w:rPr>
          <w:rFonts w:ascii="Times New Roman" w:hAnsi="Times New Roman" w:cs="Times New Roman"/>
          <w:color w:val="000000" w:themeColor="text1"/>
        </w:rPr>
        <w:t>For analyses at the plot level, we compared models with random intercepts and/or slopes among years and/or plots with the Akaike information criterion, corrected for sample size (</w:t>
      </w:r>
      <w:proofErr w:type="spellStart"/>
      <w:r w:rsidRPr="00EE3D1B">
        <w:rPr>
          <w:rFonts w:ascii="Times New Roman" w:hAnsi="Times New Roman" w:cs="Times New Roman"/>
          <w:color w:val="000000" w:themeColor="text1"/>
        </w:rPr>
        <w:t>AICc</w:t>
      </w:r>
      <w:proofErr w:type="spellEnd"/>
      <w:r w:rsidRPr="00EE3D1B">
        <w:rPr>
          <w:rFonts w:ascii="Times New Roman" w:hAnsi="Times New Roman" w:cs="Times New Roman"/>
          <w:color w:val="000000" w:themeColor="text1"/>
        </w:rPr>
        <w:t>). We fit all models with the lme4. The best supported model was a Ricker model including random variation in the intercept among years and random variation</w:t>
      </w:r>
      <w:r w:rsidR="00324C01" w:rsidRPr="00EE3D1B">
        <w:rPr>
          <w:rFonts w:ascii="Times New Roman" w:hAnsi="Times New Roman" w:cs="Times New Roman"/>
          <w:color w:val="000000" w:themeColor="text1"/>
        </w:rPr>
        <w:t xml:space="preserve"> in the intercept and slope among plots.</w:t>
      </w:r>
    </w:p>
    <w:p w14:paraId="12F98D16" w14:textId="77777777" w:rsidR="003C253E" w:rsidRPr="00EE3D1B" w:rsidRDefault="003C253E" w:rsidP="003C253E">
      <w:pPr>
        <w:pStyle w:val="ListParagraph"/>
        <w:numPr>
          <w:ilvl w:val="0"/>
          <w:numId w:val="1"/>
        </w:numPr>
        <w:rPr>
          <w:rFonts w:ascii="Times New Roman" w:hAnsi="Times New Roman" w:cs="Times New Roman"/>
          <w:color w:val="000000" w:themeColor="text1"/>
        </w:rPr>
      </w:pPr>
      <w:r w:rsidRPr="00EE3D1B">
        <w:rPr>
          <w:rFonts w:ascii="Times New Roman" w:hAnsi="Times New Roman" w:cs="Times New Roman"/>
          <w:color w:val="000000" w:themeColor="text1"/>
        </w:rPr>
        <w:t>Asynchrony among subpopulations</w:t>
      </w:r>
    </w:p>
    <w:p w14:paraId="1E8609D9" w14:textId="77777777" w:rsidR="00911885" w:rsidRPr="00EE3D1B" w:rsidRDefault="003C253E" w:rsidP="00A2333B">
      <w:pPr>
        <w:pStyle w:val="ListParagraph"/>
        <w:numPr>
          <w:ilvl w:val="1"/>
          <w:numId w:val="1"/>
        </w:numPr>
        <w:rPr>
          <w:rFonts w:ascii="Times New Roman" w:hAnsi="Times New Roman" w:cs="Times New Roman"/>
          <w:color w:val="000000" w:themeColor="text1"/>
        </w:rPr>
      </w:pPr>
      <w:r w:rsidRPr="00EE3D1B">
        <w:rPr>
          <w:rFonts w:ascii="Times New Roman" w:hAnsi="Times New Roman" w:cs="Times New Roman"/>
          <w:color w:val="000000" w:themeColor="text1"/>
        </w:rPr>
        <w:t xml:space="preserve">We used three analyses to test for asynchrony in population growth among 100-m2 plots and to identify how differences in plot-level responses to environmental drivers could account for any asynchrony in the </w:t>
      </w:r>
      <w:r w:rsidR="00911885" w:rsidRPr="00EE3D1B">
        <w:rPr>
          <w:rFonts w:ascii="Times New Roman" w:hAnsi="Times New Roman" w:cs="Times New Roman"/>
          <w:color w:val="000000" w:themeColor="text1"/>
        </w:rPr>
        <w:t xml:space="preserve">entire </w:t>
      </w:r>
      <w:r w:rsidRPr="00EE3D1B">
        <w:rPr>
          <w:rFonts w:ascii="Times New Roman" w:hAnsi="Times New Roman" w:cs="Times New Roman"/>
          <w:color w:val="000000" w:themeColor="text1"/>
        </w:rPr>
        <w:t xml:space="preserve">population. </w:t>
      </w:r>
    </w:p>
    <w:p w14:paraId="67C5276D" w14:textId="77777777" w:rsidR="00F63410" w:rsidRPr="00EE3D1B" w:rsidRDefault="003C253E" w:rsidP="00911885">
      <w:pPr>
        <w:pStyle w:val="ListParagraph"/>
        <w:numPr>
          <w:ilvl w:val="2"/>
          <w:numId w:val="1"/>
        </w:numPr>
        <w:rPr>
          <w:rFonts w:ascii="Times New Roman" w:hAnsi="Times New Roman" w:cs="Times New Roman"/>
          <w:color w:val="000000" w:themeColor="text1"/>
        </w:rPr>
      </w:pPr>
      <w:r w:rsidRPr="00EE3D1B">
        <w:rPr>
          <w:rFonts w:ascii="Times New Roman" w:hAnsi="Times New Roman" w:cs="Times New Roman"/>
          <w:color w:val="000000" w:themeColor="text1"/>
        </w:rPr>
        <w:t xml:space="preserve">To identify if the magnitude of correlations between plots in </w:t>
      </w:r>
      <w:r w:rsidR="00911885" w:rsidRPr="00EE3D1B">
        <w:rPr>
          <w:rFonts w:ascii="Times New Roman" w:hAnsi="Times New Roman" w:cs="Times New Roman"/>
          <w:color w:val="000000" w:themeColor="text1"/>
        </w:rPr>
        <w:t>log(</w:t>
      </w:r>
      <m:oMath>
        <m:r>
          <w:rPr>
            <w:rFonts w:ascii="Cambria Math" w:hAnsi="Cambria Math" w:cs="Times New Roman"/>
            <w:color w:val="000000" w:themeColor="text1"/>
          </w:rPr>
          <m:t>λ</m:t>
        </m:r>
      </m:oMath>
      <w:r w:rsidR="00911885" w:rsidRPr="00EE3D1B">
        <w:rPr>
          <w:rFonts w:ascii="Times New Roman" w:hAnsi="Times New Roman" w:cs="Times New Roman"/>
          <w:i/>
          <w:iCs/>
          <w:color w:val="000000" w:themeColor="text1"/>
          <w:vertAlign w:val="subscript"/>
        </w:rPr>
        <w:t>t</w:t>
      </w:r>
      <w:r w:rsidR="00911885"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or</w:t>
      </w:r>
      <w:r w:rsidR="00911885"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log</w:t>
      </w:r>
      <w:r w:rsidR="00911885" w:rsidRPr="00EE3D1B">
        <w:rPr>
          <w:rFonts w:ascii="Times New Roman" w:hAnsi="Times New Roman" w:cs="Times New Roman"/>
          <w:color w:val="000000" w:themeColor="text1"/>
        </w:rPr>
        <w:t>(N)</w:t>
      </w:r>
      <w:r w:rsidRPr="00EE3D1B">
        <w:rPr>
          <w:rFonts w:ascii="Times New Roman" w:hAnsi="Times New Roman" w:cs="Times New Roman"/>
          <w:color w:val="000000" w:themeColor="text1"/>
        </w:rPr>
        <w:t xml:space="preserve"> was related to their spatial distance from one another, we used </w:t>
      </w:r>
      <w:r w:rsidRPr="00EE3D1B">
        <w:rPr>
          <w:rFonts w:ascii="Times New Roman" w:hAnsi="Times New Roman" w:cs="Times New Roman"/>
          <w:b/>
          <w:bCs/>
          <w:color w:val="000000" w:themeColor="text1"/>
        </w:rPr>
        <w:t>Mantel tests</w:t>
      </w:r>
      <w:r w:rsidRPr="00EE3D1B">
        <w:rPr>
          <w:rFonts w:ascii="Times New Roman" w:hAnsi="Times New Roman" w:cs="Times New Roman"/>
          <w:color w:val="000000" w:themeColor="text1"/>
        </w:rPr>
        <w:t>. Since the north-south axis most closely corresponds to the slope and hence microhabitat at Sand Draw (higher elevation in the north, lower in the south), we considered Euclidean distance along this axis as well as two-dimensional distance and distance on the east-west axis.</w:t>
      </w:r>
      <w:r w:rsidRPr="00EE3D1B">
        <w:rPr>
          <w:color w:val="000000" w:themeColor="text1"/>
        </w:rPr>
        <w:t xml:space="preserve"> </w:t>
      </w:r>
      <w:r w:rsidRPr="00EE3D1B">
        <w:rPr>
          <w:rFonts w:ascii="Calibri" w:hAnsi="Calibri" w:cs="Calibri"/>
          <w:color w:val="000000" w:themeColor="text1"/>
        </w:rPr>
        <w:t>﻿</w:t>
      </w:r>
    </w:p>
    <w:p w14:paraId="0B4EF764" w14:textId="177B1444" w:rsidR="00911885" w:rsidRPr="00EE3D1B" w:rsidRDefault="003C253E" w:rsidP="00911885">
      <w:pPr>
        <w:pStyle w:val="ListParagraph"/>
        <w:numPr>
          <w:ilvl w:val="2"/>
          <w:numId w:val="1"/>
        </w:numPr>
        <w:rPr>
          <w:rFonts w:ascii="Times New Roman" w:hAnsi="Times New Roman" w:cs="Times New Roman"/>
          <w:color w:val="000000" w:themeColor="text1"/>
        </w:rPr>
      </w:pPr>
      <w:r w:rsidRPr="00EE3D1B">
        <w:rPr>
          <w:rFonts w:ascii="Times New Roman" w:hAnsi="Times New Roman" w:cs="Times New Roman"/>
          <w:color w:val="000000" w:themeColor="text1"/>
        </w:rPr>
        <w:t>We then quantified the strength of asynchrony among</w:t>
      </w:r>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 xml:space="preserve">plots and its contribution to population stability with two commonly used empirical metrics: the </w:t>
      </w:r>
      <w:r w:rsidRPr="00EE3D1B">
        <w:rPr>
          <w:rFonts w:ascii="Times New Roman" w:hAnsi="Times New Roman" w:cs="Times New Roman"/>
          <w:b/>
          <w:bCs/>
          <w:color w:val="000000" w:themeColor="text1"/>
        </w:rPr>
        <w:t>population-</w:t>
      </w:r>
      <w:r w:rsidR="00911885" w:rsidRPr="00EE3D1B">
        <w:rPr>
          <w:rFonts w:ascii="Times New Roman" w:hAnsi="Times New Roman" w:cs="Times New Roman"/>
          <w:b/>
          <w:bCs/>
          <w:color w:val="000000" w:themeColor="text1"/>
        </w:rPr>
        <w:t>l</w:t>
      </w:r>
      <w:r w:rsidRPr="00EE3D1B">
        <w:rPr>
          <w:rFonts w:ascii="Times New Roman" w:hAnsi="Times New Roman" w:cs="Times New Roman"/>
          <w:b/>
          <w:bCs/>
          <w:color w:val="000000" w:themeColor="text1"/>
        </w:rPr>
        <w:t>evel synchrony index</w:t>
      </w:r>
      <w:r w:rsidRPr="00EE3D1B">
        <w:rPr>
          <w:rFonts w:ascii="Times New Roman" w:hAnsi="Times New Roman" w:cs="Times New Roman"/>
          <w:color w:val="000000" w:themeColor="text1"/>
        </w:rPr>
        <w:t xml:space="preserve"> (</w:t>
      </w:r>
      <w:proofErr w:type="spellStart"/>
      <w:r w:rsidRPr="00EE3D1B">
        <w:rPr>
          <w:rFonts w:ascii="Times New Roman" w:hAnsi="Times New Roman" w:cs="Times New Roman"/>
          <w:color w:val="000000" w:themeColor="text1"/>
        </w:rPr>
        <w:t>Loreau</w:t>
      </w:r>
      <w:proofErr w:type="spellEnd"/>
      <w:r w:rsidRPr="00EE3D1B">
        <w:rPr>
          <w:rFonts w:ascii="Times New Roman" w:hAnsi="Times New Roman" w:cs="Times New Roman"/>
          <w:color w:val="000000" w:themeColor="text1"/>
        </w:rPr>
        <w:t xml:space="preserve"> and de </w:t>
      </w:r>
      <w:proofErr w:type="spellStart"/>
      <w:r w:rsidRPr="00EE3D1B">
        <w:rPr>
          <w:rFonts w:ascii="Times New Roman" w:hAnsi="Times New Roman" w:cs="Times New Roman"/>
          <w:color w:val="000000" w:themeColor="text1"/>
        </w:rPr>
        <w:t>Mazancourt</w:t>
      </w:r>
      <w:proofErr w:type="spellEnd"/>
      <w:r w:rsidRPr="00EE3D1B">
        <w:rPr>
          <w:rFonts w:ascii="Times New Roman" w:hAnsi="Times New Roman" w:cs="Times New Roman"/>
          <w:color w:val="000000" w:themeColor="text1"/>
        </w:rPr>
        <w:t xml:space="preserve"> 2008, Thibaut and Connolly 2013), and the </w:t>
      </w:r>
      <w:r w:rsidRPr="00EE3D1B">
        <w:rPr>
          <w:rFonts w:ascii="Times New Roman" w:hAnsi="Times New Roman" w:cs="Times New Roman"/>
          <w:b/>
          <w:bCs/>
          <w:color w:val="000000" w:themeColor="text1"/>
        </w:rPr>
        <w:t>mean-variance portfolio effect</w:t>
      </w:r>
      <w:r w:rsidRPr="00EE3D1B">
        <w:rPr>
          <w:rFonts w:ascii="Times New Roman" w:hAnsi="Times New Roman" w:cs="Times New Roman"/>
          <w:color w:val="000000" w:themeColor="text1"/>
        </w:rPr>
        <w:t xml:space="preserve"> (PE; Anderson et al. 2013). The population-level synchrony index ranges from zero (if all plots are perfectly asynchronous or abundance is constant) to one (if all plots are perfectly synchronous) </w:t>
      </w:r>
      <w:r w:rsidRPr="00EE3D1B">
        <w:rPr>
          <w:rFonts w:ascii="Times New Roman" w:hAnsi="Times New Roman" w:cs="Times New Roman"/>
          <w:color w:val="000000" w:themeColor="text1"/>
        </w:rPr>
        <w:lastRenderedPageBreak/>
        <w:t xml:space="preserve">and a PE greater than one indicates stabilizing effects of among- plot variance on total population size (see Supporting Information for details). </w:t>
      </w:r>
      <w:r w:rsidRPr="00EE3D1B">
        <w:rPr>
          <w:rFonts w:ascii="Calibri" w:hAnsi="Calibri" w:cs="Calibri"/>
          <w:color w:val="000000" w:themeColor="text1"/>
        </w:rPr>
        <w:t>﻿</w:t>
      </w:r>
    </w:p>
    <w:p w14:paraId="667E7A6F" w14:textId="2068AE65" w:rsidR="003C253E" w:rsidRPr="00EE3D1B" w:rsidRDefault="003C253E" w:rsidP="00911885">
      <w:pPr>
        <w:pStyle w:val="ListParagraph"/>
        <w:numPr>
          <w:ilvl w:val="2"/>
          <w:numId w:val="1"/>
        </w:numPr>
        <w:rPr>
          <w:rFonts w:ascii="Times New Roman" w:hAnsi="Times New Roman" w:cs="Times New Roman"/>
          <w:color w:val="000000" w:themeColor="text1"/>
        </w:rPr>
      </w:pPr>
      <w:r w:rsidRPr="00EE3D1B">
        <w:rPr>
          <w:rFonts w:ascii="Times New Roman" w:hAnsi="Times New Roman" w:cs="Times New Roman"/>
          <w:color w:val="000000" w:themeColor="text1"/>
        </w:rPr>
        <w:t>We also tested for climatic drivers of population</w:t>
      </w:r>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 xml:space="preserve">growth and asynchrony in plot-level responses to climate variation. We summarized the climate data into annual (July–June before census) and spring (April–June before census) precipitation sums and temperature means; these variables are likely important for </w:t>
      </w:r>
      <w:proofErr w:type="spellStart"/>
      <w:r w:rsidRPr="00EE3D1B">
        <w:rPr>
          <w:rFonts w:ascii="Times New Roman" w:hAnsi="Times New Roman" w:cs="Times New Roman"/>
          <w:color w:val="000000" w:themeColor="text1"/>
        </w:rPr>
        <w:t>Yermo</w:t>
      </w:r>
      <w:proofErr w:type="spellEnd"/>
      <w:r w:rsidRPr="00EE3D1B">
        <w:rPr>
          <w:rFonts w:ascii="Times New Roman" w:hAnsi="Times New Roman" w:cs="Times New Roman"/>
          <w:color w:val="000000" w:themeColor="text1"/>
        </w:rPr>
        <w:t xml:space="preserve"> performance and correspond with the timing of our demographic surveys in late June to mid-July</w:t>
      </w:r>
      <w:r w:rsidR="005966B1"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 xml:space="preserve">We </w:t>
      </w:r>
      <w:r w:rsidRPr="00EE3D1B">
        <w:rPr>
          <w:rFonts w:ascii="Times New Roman" w:hAnsi="Times New Roman" w:cs="Times New Roman"/>
          <w:b/>
          <w:bCs/>
          <w:color w:val="000000" w:themeColor="text1"/>
        </w:rPr>
        <w:t xml:space="preserve">tested whether each of these climate variables explained variation in </w:t>
      </w:r>
      <w:r w:rsidR="005966B1" w:rsidRPr="00EE3D1B">
        <w:rPr>
          <w:rFonts w:ascii="Times New Roman" w:hAnsi="Times New Roman" w:cs="Times New Roman"/>
          <w:b/>
          <w:bCs/>
          <w:color w:val="000000" w:themeColor="text1"/>
        </w:rPr>
        <w:t>log(</w:t>
      </w:r>
      <m:oMath>
        <m:r>
          <m:rPr>
            <m:sty m:val="bi"/>
          </m:rPr>
          <w:rPr>
            <w:rFonts w:ascii="Cambria Math" w:hAnsi="Cambria Math" w:cs="Times New Roman"/>
            <w:color w:val="000000" w:themeColor="text1"/>
          </w:rPr>
          <m:t>λ</m:t>
        </m:r>
      </m:oMath>
      <w:r w:rsidR="005966B1" w:rsidRPr="00EE3D1B">
        <w:rPr>
          <w:rFonts w:ascii="Times New Roman" w:hAnsi="Times New Roman" w:cs="Times New Roman"/>
          <w:b/>
          <w:bCs/>
          <w:i/>
          <w:iCs/>
          <w:color w:val="000000" w:themeColor="text1"/>
          <w:vertAlign w:val="subscript"/>
        </w:rPr>
        <w:t>t</w:t>
      </w:r>
      <w:r w:rsidR="005966B1" w:rsidRPr="00EE3D1B">
        <w:rPr>
          <w:rFonts w:ascii="Times New Roman" w:hAnsi="Times New Roman" w:cs="Times New Roman"/>
          <w:b/>
          <w:bCs/>
          <w:color w:val="000000" w:themeColor="text1"/>
        </w:rPr>
        <w:t xml:space="preserve">) </w:t>
      </w:r>
      <w:r w:rsidRPr="00EE3D1B">
        <w:rPr>
          <w:rFonts w:ascii="Times New Roman" w:hAnsi="Times New Roman" w:cs="Times New Roman"/>
          <w:b/>
          <w:bCs/>
          <w:color w:val="000000" w:themeColor="text1"/>
        </w:rPr>
        <w:t xml:space="preserve">among years by comparing negative binomial </w:t>
      </w:r>
      <w:proofErr w:type="spellStart"/>
      <w:r w:rsidRPr="00EE3D1B">
        <w:rPr>
          <w:rFonts w:ascii="Times New Roman" w:hAnsi="Times New Roman" w:cs="Times New Roman"/>
          <w:b/>
          <w:bCs/>
          <w:color w:val="000000" w:themeColor="text1"/>
        </w:rPr>
        <w:t>glmm</w:t>
      </w:r>
      <w:proofErr w:type="spellEnd"/>
      <w:r w:rsidRPr="00EE3D1B">
        <w:rPr>
          <w:rFonts w:ascii="Times New Roman" w:hAnsi="Times New Roman" w:cs="Times New Roman"/>
          <w:b/>
          <w:bCs/>
          <w:color w:val="000000" w:themeColor="text1"/>
        </w:rPr>
        <w:t xml:space="preserve"> Ricker models of population growth, as described above, that included one of the four climate variables with </w:t>
      </w:r>
      <w:proofErr w:type="spellStart"/>
      <w:r w:rsidRPr="00EE3D1B">
        <w:rPr>
          <w:rFonts w:ascii="Times New Roman" w:hAnsi="Times New Roman" w:cs="Times New Roman"/>
          <w:b/>
          <w:bCs/>
          <w:color w:val="000000" w:themeColor="text1"/>
        </w:rPr>
        <w:t>AICc</w:t>
      </w:r>
      <w:proofErr w:type="spellEnd"/>
      <w:r w:rsidRPr="00EE3D1B">
        <w:rPr>
          <w:rFonts w:ascii="Times New Roman" w:hAnsi="Times New Roman" w:cs="Times New Roman"/>
          <w:color w:val="000000" w:themeColor="text1"/>
        </w:rPr>
        <w:t>. In particular, we compared Ricker models with random variation in intercepts and slopes among plots, but that substituted fixed effects of climate in each year for randomly varying intercepts in each</w:t>
      </w:r>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year. For each climate variable, we fit models that considered linear and quadratic effects of climate and their</w:t>
      </w:r>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interactions with plot position along the north-south</w:t>
      </w:r>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axis, capturing interactions between climate and the</w:t>
      </w:r>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main spatial variation in habitat. Although models with</w:t>
      </w:r>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 xml:space="preserve">random year effects had the lowest </w:t>
      </w:r>
      <w:proofErr w:type="spellStart"/>
      <w:r w:rsidRPr="00EE3D1B">
        <w:rPr>
          <w:rFonts w:ascii="Times New Roman" w:hAnsi="Times New Roman" w:cs="Times New Roman"/>
          <w:color w:val="000000" w:themeColor="text1"/>
        </w:rPr>
        <w:t>AICc</w:t>
      </w:r>
      <w:proofErr w:type="spellEnd"/>
      <w:r w:rsidRPr="00EE3D1B">
        <w:rPr>
          <w:rFonts w:ascii="Times New Roman" w:hAnsi="Times New Roman" w:cs="Times New Roman"/>
          <w:color w:val="000000" w:themeColor="text1"/>
        </w:rPr>
        <w:t>, the best-supported model with climate variables had similar explanatory power</w:t>
      </w:r>
      <w:r w:rsidR="005966B1"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We there</w:t>
      </w:r>
      <w:r w:rsidR="00A2333B" w:rsidRPr="00EE3D1B">
        <w:rPr>
          <w:rFonts w:ascii="Times New Roman" w:hAnsi="Times New Roman" w:cs="Times New Roman"/>
          <w:color w:val="000000" w:themeColor="text1"/>
        </w:rPr>
        <w:t>f</w:t>
      </w:r>
      <w:r w:rsidRPr="00EE3D1B">
        <w:rPr>
          <w:rFonts w:ascii="Times New Roman" w:hAnsi="Times New Roman" w:cs="Times New Roman"/>
          <w:color w:val="000000" w:themeColor="text1"/>
        </w:rPr>
        <w:t xml:space="preserve">ore used the best-supported climate </w:t>
      </w:r>
      <w:proofErr w:type="spellStart"/>
      <w:r w:rsidR="005966B1" w:rsidRPr="00EE3D1B">
        <w:rPr>
          <w:rFonts w:ascii="Times New Roman" w:hAnsi="Times New Roman" w:cs="Times New Roman"/>
          <w:color w:val="000000" w:themeColor="text1"/>
        </w:rPr>
        <w:t>modle</w:t>
      </w:r>
      <w:proofErr w:type="spellEnd"/>
      <w:r w:rsidR="005966B1" w:rsidRPr="00EE3D1B">
        <w:rPr>
          <w:rFonts w:ascii="Times New Roman" w:hAnsi="Times New Roman" w:cs="Times New Roman"/>
          <w:color w:val="000000" w:themeColor="text1"/>
        </w:rPr>
        <w:t>, which</w:t>
      </w:r>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 xml:space="preserve">included linear and quadratic terms for annual precipitation and an interaction between North-South plot position and annual precipitation. While multiple climate factors are likely to drive </w:t>
      </w:r>
      <w:proofErr w:type="spellStart"/>
      <w:r w:rsidRPr="00EE3D1B">
        <w:rPr>
          <w:rFonts w:ascii="Times New Roman" w:hAnsi="Times New Roman" w:cs="Times New Roman"/>
          <w:color w:val="000000" w:themeColor="text1"/>
        </w:rPr>
        <w:t>Yermo</w:t>
      </w:r>
      <w:proofErr w:type="spellEnd"/>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dynamics, our data were too temporally limited to fit</w:t>
      </w:r>
      <w:r w:rsidR="00A2333B" w:rsidRPr="00EE3D1B">
        <w:rPr>
          <w:rFonts w:ascii="Times New Roman" w:hAnsi="Times New Roman" w:cs="Times New Roman"/>
          <w:color w:val="000000" w:themeColor="text1"/>
        </w:rPr>
        <w:t xml:space="preserve"> </w:t>
      </w:r>
      <w:r w:rsidRPr="00EE3D1B">
        <w:rPr>
          <w:rFonts w:ascii="Times New Roman" w:hAnsi="Times New Roman" w:cs="Times New Roman"/>
          <w:color w:val="000000" w:themeColor="text1"/>
        </w:rPr>
        <w:t>multifactor models</w:t>
      </w:r>
      <w:r w:rsidR="00A2333B" w:rsidRPr="00EE3D1B">
        <w:rPr>
          <w:rFonts w:ascii="Times New Roman" w:hAnsi="Times New Roman" w:cs="Times New Roman"/>
          <w:color w:val="000000" w:themeColor="text1"/>
        </w:rPr>
        <w:t>.</w:t>
      </w:r>
    </w:p>
    <w:p w14:paraId="6AF70BB7" w14:textId="6CF5982A" w:rsidR="00EE3D1B" w:rsidRDefault="00EE3D1B" w:rsidP="00EE3D1B">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Simulations</w:t>
      </w:r>
    </w:p>
    <w:p w14:paraId="55E02D08" w14:textId="1326F052" w:rsidR="00EE3D1B" w:rsidRDefault="00EE3D1B" w:rsidP="00EE3D1B">
      <w:pPr>
        <w:pStyle w:val="ListParagraph"/>
        <w:numPr>
          <w:ilvl w:val="1"/>
          <w:numId w:val="1"/>
        </w:numPr>
        <w:rPr>
          <w:rFonts w:ascii="Times New Roman" w:hAnsi="Times New Roman" w:cs="Times New Roman"/>
          <w:color w:val="000000" w:themeColor="text1"/>
        </w:rPr>
      </w:pPr>
      <w:r w:rsidRPr="00ED51C1">
        <w:rPr>
          <w:rFonts w:ascii="Times New Roman" w:hAnsi="Times New Roman" w:cs="Times New Roman"/>
          <w:b/>
          <w:bCs/>
          <w:color w:val="000000" w:themeColor="text1"/>
        </w:rPr>
        <w:t>Multi-site, count-based PVA</w:t>
      </w:r>
      <w:r>
        <w:rPr>
          <w:rFonts w:ascii="Times New Roman" w:hAnsi="Times New Roman" w:cs="Times New Roman"/>
          <w:color w:val="000000" w:themeColor="text1"/>
        </w:rPr>
        <w:t xml:space="preserve"> for entire site based on long-term census data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2002)</w:t>
      </w:r>
    </w:p>
    <w:p w14:paraId="57DE2F36" w14:textId="03C56EC4" w:rsidR="00EE3D1B" w:rsidRDefault="00EE3D1B" w:rsidP="00EE3D1B">
      <w:pPr>
        <w:pStyle w:val="ListParagraph"/>
        <w:numPr>
          <w:ilvl w:val="2"/>
          <w:numId w:val="1"/>
        </w:numPr>
        <w:rPr>
          <w:rFonts w:ascii="Times New Roman" w:hAnsi="Times New Roman" w:cs="Times New Roman"/>
          <w:color w:val="000000" w:themeColor="text1"/>
        </w:rPr>
      </w:pPr>
      <w:r w:rsidRPr="00ED51C1">
        <w:rPr>
          <w:rFonts w:ascii="Times New Roman" w:hAnsi="Times New Roman" w:cs="Times New Roman"/>
          <w:b/>
          <w:bCs/>
          <w:color w:val="000000" w:themeColor="text1"/>
        </w:rPr>
        <w:t>Simulated population growth in each time step by estimating an expected log(</w:t>
      </w:r>
      <m:oMath>
        <m:r>
          <m:rPr>
            <m:sty m:val="bi"/>
          </m:rPr>
          <w:rPr>
            <w:rFonts w:ascii="Cambria Math" w:hAnsi="Cambria Math" w:cs="Times New Roman"/>
            <w:color w:val="000000" w:themeColor="text1"/>
          </w:rPr>
          <m:t>λ</m:t>
        </m:r>
      </m:oMath>
      <w:r w:rsidRPr="00ED51C1">
        <w:rPr>
          <w:rFonts w:ascii="Times New Roman" w:hAnsi="Times New Roman" w:cs="Times New Roman"/>
          <w:b/>
          <w:bCs/>
          <w:i/>
          <w:iCs/>
          <w:color w:val="000000" w:themeColor="text1"/>
          <w:vertAlign w:val="subscript"/>
        </w:rPr>
        <w:t>t</w:t>
      </w:r>
      <w:r w:rsidRPr="00ED51C1">
        <w:rPr>
          <w:rFonts w:ascii="Times New Roman" w:hAnsi="Times New Roman" w:cs="Times New Roman"/>
          <w:b/>
          <w:bCs/>
          <w:color w:val="000000" w:themeColor="text1"/>
        </w:rPr>
        <w:t xml:space="preserve">) for each plot based on </w:t>
      </w:r>
      <w:proofErr w:type="spellStart"/>
      <w:r w:rsidRPr="00ED51C1">
        <w:rPr>
          <w:rFonts w:ascii="Times New Roman" w:hAnsi="Times New Roman" w:cs="Times New Roman"/>
          <w:b/>
          <w:bCs/>
          <w:color w:val="000000" w:themeColor="text1"/>
        </w:rPr>
        <w:t>it’s</w:t>
      </w:r>
      <w:proofErr w:type="spellEnd"/>
      <w:r w:rsidRPr="00ED51C1">
        <w:rPr>
          <w:rFonts w:ascii="Times New Roman" w:hAnsi="Times New Roman" w:cs="Times New Roman"/>
          <w:b/>
          <w:bCs/>
          <w:color w:val="000000" w:themeColor="text1"/>
        </w:rPr>
        <w:t xml:space="preserve"> abundance of plants, climate variable, and the plot-specific coefficients from the best-supported Ricker model</w:t>
      </w:r>
      <w:r>
        <w:rPr>
          <w:rFonts w:ascii="Times New Roman" w:hAnsi="Times New Roman" w:cs="Times New Roman"/>
          <w:color w:val="000000" w:themeColor="text1"/>
        </w:rPr>
        <w:t xml:space="preserve">. Then added to this </w:t>
      </w:r>
      <w:r w:rsidRPr="00EE3D1B">
        <w:rPr>
          <w:rFonts w:ascii="Times New Roman" w:hAnsi="Times New Roman" w:cs="Times New Roman"/>
          <w:color w:val="000000" w:themeColor="text1"/>
        </w:rPr>
        <w:t>log(</w:t>
      </w:r>
      <m:oMath>
        <m:r>
          <w:rPr>
            <w:rFonts w:ascii="Cambria Math" w:hAnsi="Cambria Math" w:cs="Times New Roman"/>
            <w:color w:val="000000" w:themeColor="text1"/>
          </w:rPr>
          <m:t>λ</m:t>
        </m:r>
      </m:oMath>
      <w:r w:rsidRPr="00EE3D1B">
        <w:rPr>
          <w:rFonts w:ascii="Times New Roman" w:hAnsi="Times New Roman" w:cs="Times New Roman"/>
          <w:i/>
          <w:iCs/>
          <w:color w:val="000000" w:themeColor="text1"/>
          <w:vertAlign w:val="subscript"/>
        </w:rPr>
        <w:t>t</w:t>
      </w:r>
      <w:r w:rsidRPr="00EE3D1B">
        <w:rPr>
          <w:rFonts w:ascii="Times New Roman" w:hAnsi="Times New Roman" w:cs="Times New Roman"/>
          <w:color w:val="000000" w:themeColor="text1"/>
        </w:rPr>
        <w:t>)</w:t>
      </w:r>
      <w:r>
        <w:rPr>
          <w:rFonts w:ascii="Times New Roman" w:hAnsi="Times New Roman" w:cs="Times New Roman"/>
          <w:color w:val="000000" w:themeColor="text1"/>
        </w:rPr>
        <w:t xml:space="preserve"> a plot-specific correlated random value estimated from the covariance matrix of the model residuals among plots (following Abbot et al. 2017)</w:t>
      </w:r>
      <w:r w:rsidR="004D7F94">
        <w:rPr>
          <w:rFonts w:ascii="Times New Roman" w:hAnsi="Times New Roman" w:cs="Times New Roman"/>
          <w:color w:val="000000" w:themeColor="text1"/>
        </w:rPr>
        <w:t>—allows for stochasticity</w:t>
      </w:r>
    </w:p>
    <w:p w14:paraId="6AC6CAB8" w14:textId="343497E2" w:rsidR="004D7F94" w:rsidRDefault="004D7F94" w:rsidP="00EE3D1B">
      <w:pPr>
        <w:pStyle w:val="ListParagraph"/>
        <w:numPr>
          <w:ilvl w:val="2"/>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Tested the accuracy of these models by starting them at the beginning of the census data, and then </w:t>
      </w:r>
      <w:r w:rsidR="00ED51C1">
        <w:rPr>
          <w:rFonts w:ascii="Times New Roman" w:hAnsi="Times New Roman" w:cs="Times New Roman"/>
          <w:color w:val="000000" w:themeColor="text1"/>
        </w:rPr>
        <w:t>comparing modeled to actual data (compare correlation)</w:t>
      </w:r>
    </w:p>
    <w:p w14:paraId="08D576B5" w14:textId="33DB9441" w:rsidR="00ED51C1" w:rsidRPr="00EE3D1B" w:rsidRDefault="00ED51C1" w:rsidP="00ED51C1">
      <w:pPr>
        <w:pStyle w:val="ListParagraph"/>
        <w:numPr>
          <w:ilvl w:val="2"/>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Then project into the future by using the last year of census data as the starting point and </w:t>
      </w:r>
      <w:r w:rsidRPr="00ED51C1">
        <w:rPr>
          <w:rFonts w:ascii="Calibri" w:hAnsi="Calibri" w:cs="Calibri"/>
          <w:color w:val="000000" w:themeColor="text1"/>
        </w:rPr>
        <w:t>﻿</w:t>
      </w:r>
      <w:r w:rsidRPr="00ED51C1">
        <w:rPr>
          <w:rFonts w:ascii="Times New Roman" w:hAnsi="Times New Roman" w:cs="Times New Roman"/>
          <w:color w:val="000000" w:themeColor="text1"/>
        </w:rPr>
        <w:t>randomly</w:t>
      </w:r>
      <w:r>
        <w:rPr>
          <w:rFonts w:ascii="Times New Roman" w:hAnsi="Times New Roman" w:cs="Times New Roman"/>
          <w:color w:val="000000" w:themeColor="text1"/>
        </w:rPr>
        <w:t xml:space="preserve"> </w:t>
      </w:r>
      <w:r w:rsidRPr="00ED51C1">
        <w:rPr>
          <w:rFonts w:ascii="Times New Roman" w:hAnsi="Times New Roman" w:cs="Times New Roman"/>
          <w:color w:val="000000" w:themeColor="text1"/>
        </w:rPr>
        <w:t>drawing annual precipitation values from a normal dis</w:t>
      </w:r>
      <w:r>
        <w:rPr>
          <w:rFonts w:ascii="Times New Roman" w:hAnsi="Times New Roman" w:cs="Times New Roman"/>
          <w:color w:val="000000" w:themeColor="text1"/>
        </w:rPr>
        <w:t xml:space="preserve">tribution with mean and variance taken from the 99 complete observations of annual </w:t>
      </w:r>
      <w:proofErr w:type="spellStart"/>
      <w:r>
        <w:rPr>
          <w:rFonts w:ascii="Times New Roman" w:hAnsi="Times New Roman" w:cs="Times New Roman"/>
          <w:color w:val="000000" w:themeColor="text1"/>
        </w:rPr>
        <w:t>precip</w:t>
      </w:r>
      <w:proofErr w:type="spellEnd"/>
      <w:r>
        <w:rPr>
          <w:rFonts w:ascii="Times New Roman" w:hAnsi="Times New Roman" w:cs="Times New Roman"/>
          <w:color w:val="000000" w:themeColor="text1"/>
        </w:rPr>
        <w:t xml:space="preserve">. From the Riverton NOAA station. </w:t>
      </w:r>
    </w:p>
    <w:p w14:paraId="60B381DB" w14:textId="5DD900A3" w:rsidR="00ED51C1" w:rsidRDefault="00ED51C1" w:rsidP="00ED51C1">
      <w:pPr>
        <w:pStyle w:val="ListParagraph"/>
        <w:numPr>
          <w:ilvl w:val="2"/>
          <w:numId w:val="1"/>
        </w:numPr>
        <w:rPr>
          <w:rFonts w:ascii="Times New Roman" w:hAnsi="Times New Roman" w:cs="Times New Roman"/>
          <w:color w:val="000000" w:themeColor="text1"/>
        </w:rPr>
      </w:pPr>
      <w:r>
        <w:rPr>
          <w:rFonts w:ascii="Times New Roman" w:hAnsi="Times New Roman" w:cs="Times New Roman"/>
          <w:color w:val="000000" w:themeColor="text1"/>
        </w:rPr>
        <w:t>Did these simulations 10,000 times over 100-year time window</w:t>
      </w:r>
    </w:p>
    <w:p w14:paraId="68FA52F7" w14:textId="2FD9B35E" w:rsidR="00ED51C1" w:rsidRDefault="00ED51C1" w:rsidP="00ED51C1">
      <w:pPr>
        <w:pStyle w:val="ListParagraph"/>
        <w:numPr>
          <w:ilvl w:val="1"/>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Ran </w:t>
      </w:r>
      <w:r w:rsidRPr="00ED51C1">
        <w:rPr>
          <w:rFonts w:ascii="Times New Roman" w:hAnsi="Times New Roman" w:cs="Times New Roman"/>
          <w:b/>
          <w:bCs/>
          <w:color w:val="000000" w:themeColor="text1"/>
        </w:rPr>
        <w:t>three additional simulations</w:t>
      </w:r>
      <w:r>
        <w:rPr>
          <w:rFonts w:ascii="Times New Roman" w:hAnsi="Times New Roman" w:cs="Times New Roman"/>
          <w:color w:val="000000" w:themeColor="text1"/>
        </w:rPr>
        <w:t xml:space="preserve"> to estimate the impact of density dependence and spatial asynchrony</w:t>
      </w:r>
    </w:p>
    <w:p w14:paraId="2C9B54AD" w14:textId="77E3256A" w:rsidR="00ED51C1" w:rsidRDefault="00ED51C1" w:rsidP="00ED51C1">
      <w:pPr>
        <w:pStyle w:val="ListParagraph"/>
        <w:numPr>
          <w:ilvl w:val="2"/>
          <w:numId w:val="1"/>
        </w:numPr>
        <w:rPr>
          <w:rFonts w:ascii="Times New Roman" w:hAnsi="Times New Roman" w:cs="Times New Roman"/>
          <w:color w:val="000000" w:themeColor="text1"/>
        </w:rPr>
      </w:pPr>
      <w:r>
        <w:rPr>
          <w:rFonts w:ascii="Times New Roman" w:hAnsi="Times New Roman" w:cs="Times New Roman"/>
          <w:color w:val="000000" w:themeColor="text1"/>
        </w:rPr>
        <w:lastRenderedPageBreak/>
        <w:t>Ran simulations based on an alternative model that removed effects of spatial asynchrony in climate responses</w:t>
      </w:r>
    </w:p>
    <w:p w14:paraId="601F476C" w14:textId="5D3B22C2" w:rsidR="00ED51C1" w:rsidRDefault="00ED51C1" w:rsidP="00ED51C1">
      <w:pPr>
        <w:pStyle w:val="ListParagraph"/>
        <w:numPr>
          <w:ilvl w:val="2"/>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Ran simulations based on models that removed the stabilizing effects of density dependence while still imposing a density cap on numbers </w:t>
      </w:r>
    </w:p>
    <w:p w14:paraId="40B15500" w14:textId="3AC1F1F7" w:rsidR="00ED51C1" w:rsidRPr="00EE3D1B" w:rsidRDefault="00ED51C1" w:rsidP="00ED51C1">
      <w:pPr>
        <w:pStyle w:val="ListParagraph"/>
        <w:numPr>
          <w:ilvl w:val="2"/>
          <w:numId w:val="1"/>
        </w:numPr>
        <w:rPr>
          <w:rFonts w:ascii="Times New Roman" w:hAnsi="Times New Roman" w:cs="Times New Roman"/>
          <w:color w:val="000000" w:themeColor="text1"/>
        </w:rPr>
      </w:pPr>
      <w:r>
        <w:rPr>
          <w:rFonts w:ascii="Times New Roman" w:hAnsi="Times New Roman" w:cs="Times New Roman"/>
          <w:color w:val="000000" w:themeColor="text1"/>
        </w:rPr>
        <w:t>Ran simulations based on models that excluded both of these effects</w:t>
      </w:r>
    </w:p>
    <w:sectPr w:rsidR="00ED51C1" w:rsidRPr="00EE3D1B" w:rsidSect="00774D79">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0F6FC" w14:textId="77777777" w:rsidR="008109FF" w:rsidRDefault="008109FF" w:rsidP="006846F4">
      <w:r>
        <w:separator/>
      </w:r>
    </w:p>
  </w:endnote>
  <w:endnote w:type="continuationSeparator" w:id="0">
    <w:p w14:paraId="6F3517FC" w14:textId="77777777" w:rsidR="008109FF" w:rsidRDefault="008109FF" w:rsidP="00684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C0AE5" w14:textId="77777777" w:rsidR="008109FF" w:rsidRDefault="008109FF" w:rsidP="006846F4">
      <w:r>
        <w:separator/>
      </w:r>
    </w:p>
  </w:footnote>
  <w:footnote w:type="continuationSeparator" w:id="0">
    <w:p w14:paraId="22789449" w14:textId="77777777" w:rsidR="008109FF" w:rsidRDefault="008109FF" w:rsidP="00684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439470"/>
      <w:docPartObj>
        <w:docPartGallery w:val="Page Numbers (Top of Page)"/>
        <w:docPartUnique/>
      </w:docPartObj>
    </w:sdtPr>
    <w:sdtContent>
      <w:p w14:paraId="2075B609" w14:textId="77777777" w:rsidR="00C125CB" w:rsidRDefault="00C125CB" w:rsidP="00C125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D53708" w14:textId="77777777" w:rsidR="00C125CB" w:rsidRDefault="00C125CB" w:rsidP="00C125C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6492929"/>
      <w:docPartObj>
        <w:docPartGallery w:val="Page Numbers (Top of Page)"/>
        <w:docPartUnique/>
      </w:docPartObj>
    </w:sdtPr>
    <w:sdtContent>
      <w:p w14:paraId="705EF5E8" w14:textId="77777777" w:rsidR="00C125CB" w:rsidRDefault="00C125CB" w:rsidP="00C125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0CAA97" w14:textId="2149A196" w:rsidR="00C125CB" w:rsidRDefault="00C125CB" w:rsidP="00C125C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61738"/>
    <w:multiLevelType w:val="hybridMultilevel"/>
    <w:tmpl w:val="408CA5BE"/>
    <w:lvl w:ilvl="0" w:tplc="BC3E37E2">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95ACC"/>
    <w:multiLevelType w:val="hybridMultilevel"/>
    <w:tmpl w:val="16BC81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2C6DD6"/>
    <w:multiLevelType w:val="hybridMultilevel"/>
    <w:tmpl w:val="FFF87346"/>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5BF17858"/>
    <w:multiLevelType w:val="hybridMultilevel"/>
    <w:tmpl w:val="17C42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350A8"/>
    <w:multiLevelType w:val="hybridMultilevel"/>
    <w:tmpl w:val="3D820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88"/>
    <w:rsid w:val="000279FA"/>
    <w:rsid w:val="00080BDB"/>
    <w:rsid w:val="000D46BA"/>
    <w:rsid w:val="000F42F3"/>
    <w:rsid w:val="001B3CD6"/>
    <w:rsid w:val="00287D27"/>
    <w:rsid w:val="002B7CA7"/>
    <w:rsid w:val="00324C01"/>
    <w:rsid w:val="003708E4"/>
    <w:rsid w:val="00387977"/>
    <w:rsid w:val="003C253E"/>
    <w:rsid w:val="004A5E6A"/>
    <w:rsid w:val="004D7F94"/>
    <w:rsid w:val="005966B1"/>
    <w:rsid w:val="005C1629"/>
    <w:rsid w:val="005E6626"/>
    <w:rsid w:val="006846F4"/>
    <w:rsid w:val="007626F2"/>
    <w:rsid w:val="00774D79"/>
    <w:rsid w:val="008109FF"/>
    <w:rsid w:val="00911885"/>
    <w:rsid w:val="009B667D"/>
    <w:rsid w:val="009C0C14"/>
    <w:rsid w:val="00A2333B"/>
    <w:rsid w:val="00B72F5A"/>
    <w:rsid w:val="00C125CB"/>
    <w:rsid w:val="00CA343E"/>
    <w:rsid w:val="00CE27E3"/>
    <w:rsid w:val="00CF1281"/>
    <w:rsid w:val="00D26C19"/>
    <w:rsid w:val="00D45988"/>
    <w:rsid w:val="00EB2BE8"/>
    <w:rsid w:val="00ED51C1"/>
    <w:rsid w:val="00EE3D1B"/>
    <w:rsid w:val="00F04184"/>
    <w:rsid w:val="00F6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1E449"/>
  <w15:docId w15:val="{5529B323-AC6E-B543-B9D8-0B7E1F13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988"/>
    <w:pPr>
      <w:ind w:left="720"/>
      <w:contextualSpacing/>
    </w:pPr>
  </w:style>
  <w:style w:type="character" w:styleId="PlaceholderText">
    <w:name w:val="Placeholder Text"/>
    <w:basedOn w:val="DefaultParagraphFont"/>
    <w:uiPriority w:val="99"/>
    <w:semiHidden/>
    <w:rsid w:val="004A5E6A"/>
    <w:rPr>
      <w:color w:val="808080"/>
    </w:rPr>
  </w:style>
  <w:style w:type="paragraph" w:styleId="Header">
    <w:name w:val="header"/>
    <w:basedOn w:val="Normal"/>
    <w:link w:val="HeaderChar"/>
    <w:uiPriority w:val="99"/>
    <w:unhideWhenUsed/>
    <w:rsid w:val="006846F4"/>
    <w:pPr>
      <w:tabs>
        <w:tab w:val="center" w:pos="4680"/>
        <w:tab w:val="right" w:pos="9360"/>
      </w:tabs>
    </w:pPr>
    <w:rPr>
      <w:sz w:val="22"/>
      <w:szCs w:val="22"/>
    </w:rPr>
  </w:style>
  <w:style w:type="character" w:customStyle="1" w:styleId="HeaderChar">
    <w:name w:val="Header Char"/>
    <w:basedOn w:val="DefaultParagraphFont"/>
    <w:link w:val="Header"/>
    <w:uiPriority w:val="99"/>
    <w:rsid w:val="006846F4"/>
    <w:rPr>
      <w:sz w:val="22"/>
      <w:szCs w:val="22"/>
    </w:rPr>
  </w:style>
  <w:style w:type="character" w:styleId="PageNumber">
    <w:name w:val="page number"/>
    <w:basedOn w:val="DefaultParagraphFont"/>
    <w:uiPriority w:val="99"/>
    <w:semiHidden/>
    <w:unhideWhenUsed/>
    <w:rsid w:val="006846F4"/>
  </w:style>
  <w:style w:type="paragraph" w:styleId="Footer">
    <w:name w:val="footer"/>
    <w:basedOn w:val="Normal"/>
    <w:link w:val="FooterChar"/>
    <w:uiPriority w:val="99"/>
    <w:unhideWhenUsed/>
    <w:rsid w:val="006846F4"/>
    <w:pPr>
      <w:tabs>
        <w:tab w:val="center" w:pos="4680"/>
        <w:tab w:val="right" w:pos="9360"/>
      </w:tabs>
    </w:pPr>
  </w:style>
  <w:style w:type="character" w:customStyle="1" w:styleId="FooterChar">
    <w:name w:val="Footer Char"/>
    <w:basedOn w:val="DefaultParagraphFont"/>
    <w:link w:val="Footer"/>
    <w:uiPriority w:val="99"/>
    <w:rsid w:val="00684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Elizabeth Stears</dc:creator>
  <cp:keywords/>
  <dc:description/>
  <cp:lastModifiedBy>Alice Elizabeth Stears</cp:lastModifiedBy>
  <cp:revision>1</cp:revision>
  <dcterms:created xsi:type="dcterms:W3CDTF">2021-10-28T15:54:00Z</dcterms:created>
  <dcterms:modified xsi:type="dcterms:W3CDTF">2021-11-01T22:19:00Z</dcterms:modified>
</cp:coreProperties>
</file>