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622ED" w14:textId="318A8088" w:rsidR="00D52219" w:rsidRPr="009D50FF" w:rsidRDefault="00D52219" w:rsidP="002A6DF5">
      <w:pPr>
        <w:rPr>
          <w:rFonts w:ascii="Times New Roman" w:hAnsi="Times New Roman" w:cs="Times New Roman"/>
          <w:b/>
          <w:bCs/>
          <w:color w:val="000000" w:themeColor="text1"/>
        </w:rPr>
      </w:pPr>
      <w:r w:rsidRPr="00D52219">
        <w:rPr>
          <w:rFonts w:ascii="Times New Roman" w:hAnsi="Times New Roman" w:cs="Times New Roman"/>
          <w:b/>
          <w:bCs/>
          <w:color w:val="000000" w:themeColor="text1"/>
        </w:rPr>
        <w:t>Populat</w:t>
      </w:r>
      <w:r w:rsidRPr="009D50FF">
        <w:rPr>
          <w:rFonts w:ascii="Times New Roman" w:hAnsi="Times New Roman" w:cs="Times New Roman"/>
          <w:b/>
          <w:bCs/>
          <w:color w:val="000000" w:themeColor="text1"/>
        </w:rPr>
        <w:t>i</w:t>
      </w:r>
      <w:r w:rsidRPr="00A11F9E">
        <w:rPr>
          <w:rFonts w:ascii="Times New Roman" w:hAnsi="Times New Roman" w:cs="Times New Roman"/>
          <w:b/>
          <w:bCs/>
          <w:color w:val="000000" w:themeColor="text1"/>
        </w:rPr>
        <w:t>o</w:t>
      </w:r>
      <w:r w:rsidRPr="00157FE7">
        <w:rPr>
          <w:rFonts w:ascii="Times New Roman" w:hAnsi="Times New Roman" w:cs="Times New Roman"/>
          <w:b/>
          <w:bCs/>
          <w:color w:val="000000" w:themeColor="text1"/>
        </w:rPr>
        <w:t xml:space="preserve">n dynamics of a globally </w:t>
      </w:r>
      <w:r w:rsidRPr="004657B7">
        <w:rPr>
          <w:rFonts w:ascii="Times New Roman" w:hAnsi="Times New Roman" w:cs="Times New Roman"/>
          <w:b/>
          <w:bCs/>
          <w:color w:val="000000" w:themeColor="text1"/>
        </w:rPr>
        <w:t>ra</w:t>
      </w:r>
      <w:r w:rsidRPr="00D52219">
        <w:rPr>
          <w:rFonts w:ascii="Times New Roman" w:hAnsi="Times New Roman" w:cs="Times New Roman"/>
          <w:b/>
          <w:bCs/>
          <w:color w:val="000000" w:themeColor="text1"/>
        </w:rPr>
        <w:t>re</w:t>
      </w:r>
      <w:r>
        <w:rPr>
          <w:rFonts w:ascii="Times New Roman" w:hAnsi="Times New Roman" w:cs="Times New Roman"/>
          <w:b/>
          <w:bCs/>
          <w:color w:val="000000" w:themeColor="text1"/>
        </w:rPr>
        <w:t xml:space="preserve"> yet</w:t>
      </w:r>
      <w:r w:rsidRPr="00D52219">
        <w:rPr>
          <w:rFonts w:ascii="Times New Roman" w:hAnsi="Times New Roman" w:cs="Times New Roman"/>
          <w:b/>
          <w:bCs/>
          <w:color w:val="000000" w:themeColor="text1"/>
        </w:rPr>
        <w:t xml:space="preserve"> loc</w:t>
      </w:r>
      <w:r w:rsidRPr="009D50FF">
        <w:rPr>
          <w:rFonts w:ascii="Times New Roman" w:hAnsi="Times New Roman" w:cs="Times New Roman"/>
          <w:b/>
          <w:bCs/>
          <w:color w:val="000000" w:themeColor="text1"/>
        </w:rPr>
        <w:t>a</w:t>
      </w:r>
      <w:r w:rsidRPr="00A11F9E">
        <w:rPr>
          <w:rFonts w:ascii="Times New Roman" w:hAnsi="Times New Roman" w:cs="Times New Roman"/>
          <w:b/>
          <w:bCs/>
          <w:color w:val="000000" w:themeColor="text1"/>
        </w:rPr>
        <w:t>l</w:t>
      </w:r>
      <w:r w:rsidRPr="00157FE7">
        <w:rPr>
          <w:rFonts w:ascii="Times New Roman" w:hAnsi="Times New Roman" w:cs="Times New Roman"/>
          <w:b/>
          <w:bCs/>
          <w:color w:val="000000" w:themeColor="text1"/>
        </w:rPr>
        <w:t>ly abundant en</w:t>
      </w:r>
      <w:r w:rsidRPr="004657B7">
        <w:rPr>
          <w:rFonts w:ascii="Times New Roman" w:hAnsi="Times New Roman" w:cs="Times New Roman"/>
          <w:b/>
          <w:bCs/>
          <w:color w:val="000000" w:themeColor="text1"/>
        </w:rPr>
        <w:t>de</w:t>
      </w:r>
      <w:r w:rsidRPr="00D52219">
        <w:rPr>
          <w:rFonts w:ascii="Times New Roman" w:hAnsi="Times New Roman" w:cs="Times New Roman"/>
          <w:b/>
          <w:bCs/>
          <w:color w:val="000000" w:themeColor="text1"/>
        </w:rPr>
        <w:t>mic monocarpic perennial (</w:t>
      </w:r>
      <w:proofErr w:type="spellStart"/>
      <w:r w:rsidRPr="002F134E">
        <w:rPr>
          <w:rFonts w:ascii="Times New Roman" w:hAnsi="Times New Roman" w:cs="Times New Roman"/>
          <w:b/>
          <w:bCs/>
          <w:i/>
          <w:iCs/>
          <w:color w:val="000000" w:themeColor="text1"/>
        </w:rPr>
        <w:t>Oenoethera</w:t>
      </w:r>
      <w:proofErr w:type="spellEnd"/>
      <w:r w:rsidRPr="002F134E">
        <w:rPr>
          <w:rFonts w:ascii="Times New Roman" w:hAnsi="Times New Roman" w:cs="Times New Roman"/>
          <w:b/>
          <w:bCs/>
          <w:i/>
          <w:iCs/>
          <w:color w:val="000000" w:themeColor="text1"/>
        </w:rPr>
        <w:t xml:space="preserve"> coloradensis</w:t>
      </w:r>
      <w:r w:rsidRPr="00D52219">
        <w:rPr>
          <w:rFonts w:ascii="Times New Roman" w:hAnsi="Times New Roman" w:cs="Times New Roman"/>
          <w:b/>
          <w:bCs/>
          <w:color w:val="000000" w:themeColor="text1"/>
        </w:rPr>
        <w:t>)</w:t>
      </w:r>
    </w:p>
    <w:p w14:paraId="3D7E63C4" w14:textId="2A22705E" w:rsidR="00255B89" w:rsidRPr="00A018BD" w:rsidRDefault="00255B89" w:rsidP="002A6DF5">
      <w:pPr>
        <w:pStyle w:val="BodyText"/>
        <w:rPr>
          <w:rFonts w:ascii="Times New Roman" w:hAnsi="Times New Roman" w:cs="Times New Roman"/>
          <w:color w:val="000000" w:themeColor="text1"/>
        </w:rPr>
      </w:pPr>
      <w:r w:rsidRPr="00A018BD">
        <w:rPr>
          <w:rFonts w:ascii="Times New Roman" w:hAnsi="Times New Roman" w:cs="Times New Roman"/>
          <w:color w:val="000000" w:themeColor="text1"/>
        </w:rPr>
        <w:t>Alice E. Stears</w:t>
      </w: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Pr="00A018BD">
        <w:rPr>
          <w:rFonts w:ascii="Times New Roman" w:hAnsi="Times New Roman" w:cs="Times New Roman"/>
          <w:color w:val="000000" w:themeColor="text1"/>
        </w:rPr>
        <w:t xml:space="preserve">, </w:t>
      </w:r>
      <w:r w:rsidR="00FF5136">
        <w:rPr>
          <w:rFonts w:ascii="Times New Roman" w:hAnsi="Times New Roman" w:cs="Times New Roman"/>
          <w:color w:val="000000" w:themeColor="text1"/>
        </w:rPr>
        <w:t>Maria Paniw</w:t>
      </w:r>
      <w:r w:rsidR="00FF5136">
        <w:rPr>
          <w:rFonts w:ascii="Times New Roman" w:hAnsi="Times New Roman" w:cs="Times New Roman"/>
          <w:color w:val="000000" w:themeColor="text1"/>
          <w:vertAlign w:val="superscript"/>
        </w:rPr>
        <w:t>2</w:t>
      </w:r>
      <w:r w:rsidR="00FF5136">
        <w:rPr>
          <w:rFonts w:ascii="Times New Roman" w:hAnsi="Times New Roman" w:cs="Times New Roman"/>
          <w:color w:val="000000" w:themeColor="text1"/>
        </w:rPr>
        <w:t>, Roberto Salguero-Gómez</w:t>
      </w:r>
      <w:r w:rsidR="00FF5136">
        <w:rPr>
          <w:rFonts w:ascii="Times New Roman" w:hAnsi="Times New Roman" w:cs="Times New Roman"/>
          <w:color w:val="000000" w:themeColor="text1"/>
          <w:vertAlign w:val="superscript"/>
        </w:rPr>
        <w:t>3</w:t>
      </w:r>
      <w:r w:rsidR="00FF5136">
        <w:rPr>
          <w:rFonts w:ascii="Times New Roman" w:hAnsi="Times New Roman" w:cs="Times New Roman"/>
          <w:color w:val="000000" w:themeColor="text1"/>
        </w:rPr>
        <w:t xml:space="preserve">, </w:t>
      </w:r>
      <w:r w:rsidRPr="00A018BD">
        <w:rPr>
          <w:rFonts w:ascii="Times New Roman" w:hAnsi="Times New Roman" w:cs="Times New Roman"/>
          <w:color w:val="000000" w:themeColor="text1"/>
        </w:rPr>
        <w:t>Daniel C. Laughlin</w:t>
      </w: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p>
    <w:p w14:paraId="34C63570" w14:textId="11EB77C8" w:rsidR="00255B89" w:rsidRDefault="00885ABC" w:rsidP="002A6DF5">
      <w:pPr>
        <w:pStyle w:val="BodyText"/>
        <w:rPr>
          <w:rFonts w:ascii="Times New Roman" w:hAnsi="Times New Roman" w:cs="Times New Roman"/>
          <w:color w:val="000000" w:themeColor="text1"/>
        </w:rPr>
      </w:pP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00255B89" w:rsidRPr="00A018BD">
        <w:rPr>
          <w:rFonts w:ascii="Times New Roman" w:hAnsi="Times New Roman" w:cs="Times New Roman"/>
          <w:color w:val="000000" w:themeColor="text1"/>
        </w:rPr>
        <w:t>Botany Department and Program in Ecology, University of Wyoming, Laramie, WY</w:t>
      </w:r>
    </w:p>
    <w:p w14:paraId="115EE5C9" w14:textId="710449A5" w:rsidR="00FF5136" w:rsidRPr="00B72A46" w:rsidRDefault="00FF5136" w:rsidP="00B72A46">
      <w:pPr>
        <w:rPr>
          <w:rFonts w:ascii="Times New Roman" w:eastAsia="Times New Roman" w:hAnsi="Times New Roman" w:cs="Times New Roman"/>
          <w:color w:val="000000" w:themeColor="text1"/>
        </w:rPr>
      </w:pPr>
      <w:r>
        <w:rPr>
          <w:rFonts w:ascii="Times New Roman" w:hAnsi="Times New Roman" w:cs="Times New Roman"/>
          <w:color w:val="000000" w:themeColor="text1"/>
          <w:vertAlign w:val="superscript"/>
        </w:rPr>
        <w:t>2</w:t>
      </w:r>
      <w:r w:rsidRPr="00FF5136">
        <w:t xml:space="preserve"> </w:t>
      </w:r>
      <w:proofErr w:type="spellStart"/>
      <w:r w:rsidRPr="00ED2863">
        <w:rPr>
          <w:rFonts w:ascii="Times New Roman" w:eastAsia="Times New Roman" w:hAnsi="Times New Roman" w:cs="Times New Roman"/>
          <w:color w:val="000000" w:themeColor="text1"/>
          <w:shd w:val="clear" w:color="auto" w:fill="FFFFFF"/>
        </w:rPr>
        <w:t>Estación</w:t>
      </w:r>
      <w:proofErr w:type="spellEnd"/>
      <w:r w:rsidRPr="00ED2863">
        <w:rPr>
          <w:rFonts w:ascii="Times New Roman" w:eastAsia="Times New Roman" w:hAnsi="Times New Roman" w:cs="Times New Roman"/>
          <w:color w:val="000000" w:themeColor="text1"/>
          <w:shd w:val="clear" w:color="auto" w:fill="FFFFFF"/>
        </w:rPr>
        <w:t xml:space="preserve"> </w:t>
      </w:r>
      <w:proofErr w:type="spellStart"/>
      <w:r w:rsidRPr="00ED2863">
        <w:rPr>
          <w:rFonts w:ascii="Times New Roman" w:eastAsia="Times New Roman" w:hAnsi="Times New Roman" w:cs="Times New Roman"/>
          <w:color w:val="000000" w:themeColor="text1"/>
          <w:shd w:val="clear" w:color="auto" w:fill="FFFFFF"/>
        </w:rPr>
        <w:t>Biológica</w:t>
      </w:r>
      <w:proofErr w:type="spellEnd"/>
      <w:r w:rsidRPr="00ED2863">
        <w:rPr>
          <w:rFonts w:ascii="Times New Roman" w:eastAsia="Times New Roman" w:hAnsi="Times New Roman" w:cs="Times New Roman"/>
          <w:color w:val="000000" w:themeColor="text1"/>
          <w:shd w:val="clear" w:color="auto" w:fill="FFFFFF"/>
        </w:rPr>
        <w:t xml:space="preserve"> de </w:t>
      </w:r>
      <w:proofErr w:type="spellStart"/>
      <w:r w:rsidRPr="00ED2863">
        <w:rPr>
          <w:rFonts w:ascii="Times New Roman" w:eastAsia="Times New Roman" w:hAnsi="Times New Roman" w:cs="Times New Roman"/>
          <w:color w:val="000000" w:themeColor="text1"/>
          <w:shd w:val="clear" w:color="auto" w:fill="FFFFFF"/>
        </w:rPr>
        <w:t>Doñana</w:t>
      </w:r>
      <w:proofErr w:type="spellEnd"/>
      <w:r>
        <w:rPr>
          <w:rFonts w:ascii="Times New Roman" w:eastAsia="Times New Roman" w:hAnsi="Times New Roman" w:cs="Times New Roman"/>
          <w:color w:val="000000" w:themeColor="text1"/>
          <w:shd w:val="clear" w:color="auto" w:fill="FFFFFF"/>
        </w:rPr>
        <w:t xml:space="preserve">, </w:t>
      </w:r>
      <w:r w:rsidR="00906A31">
        <w:rPr>
          <w:rFonts w:ascii="Times New Roman" w:eastAsia="Times New Roman" w:hAnsi="Times New Roman" w:cs="Times New Roman"/>
          <w:color w:val="000000" w:themeColor="text1"/>
          <w:shd w:val="clear" w:color="auto" w:fill="FFFFFF"/>
        </w:rPr>
        <w:t>Sevilla, Spain</w:t>
      </w:r>
      <w:r w:rsidRPr="00ED2863">
        <w:rPr>
          <w:rFonts w:ascii="Times New Roman" w:eastAsia="Times New Roman" w:hAnsi="Times New Roman" w:cs="Times New Roman"/>
          <w:color w:val="000000" w:themeColor="text1"/>
          <w:shd w:val="clear" w:color="auto" w:fill="FFFFFF"/>
        </w:rPr>
        <w:t> </w:t>
      </w:r>
    </w:p>
    <w:p w14:paraId="73178798" w14:textId="54EC9DE0" w:rsidR="00FF5136" w:rsidRPr="00ED2863" w:rsidRDefault="00FF5136" w:rsidP="002A6DF5">
      <w:pPr>
        <w:pStyle w:val="BodyText"/>
        <w:rPr>
          <w:rFonts w:ascii="Times New Roman" w:hAnsi="Times New Roman" w:cs="Times New Roman"/>
          <w:color w:val="000000" w:themeColor="text1"/>
        </w:rPr>
      </w:pPr>
      <w:r>
        <w:rPr>
          <w:rFonts w:ascii="Times New Roman" w:hAnsi="Times New Roman" w:cs="Times New Roman"/>
          <w:color w:val="000000" w:themeColor="text1"/>
          <w:vertAlign w:val="superscript"/>
        </w:rPr>
        <w:t>3</w:t>
      </w:r>
      <w:r>
        <w:rPr>
          <w:rFonts w:ascii="Times New Roman" w:hAnsi="Times New Roman" w:cs="Times New Roman"/>
          <w:color w:val="000000" w:themeColor="text1"/>
        </w:rPr>
        <w:t>Department of Zoology, Oxford University, Oxford, England</w:t>
      </w:r>
    </w:p>
    <w:p w14:paraId="32FCDE5C" w14:textId="77777777" w:rsidR="00255B89" w:rsidRPr="00A018BD" w:rsidRDefault="00885ABC" w:rsidP="002A6DF5">
      <w:pPr>
        <w:pStyle w:val="BodyText"/>
        <w:rPr>
          <w:rFonts w:ascii="Times New Roman" w:hAnsi="Times New Roman" w:cs="Times New Roman"/>
          <w:color w:val="000000" w:themeColor="text1"/>
        </w:rPr>
      </w:pP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m:t>
            </m:r>
          </m:sup>
        </m:sSup>
      </m:oMath>
      <w:r w:rsidR="00255B89" w:rsidRPr="00A018BD">
        <w:rPr>
          <w:rFonts w:ascii="Times New Roman" w:hAnsi="Times New Roman" w:cs="Times New Roman"/>
          <w:color w:val="000000" w:themeColor="text1"/>
        </w:rPr>
        <w:t>Corresponding Author: astears@uwyo.edu</w:t>
      </w:r>
    </w:p>
    <w:p w14:paraId="34ACC1B4" w14:textId="77777777" w:rsidR="00450A49" w:rsidRPr="00944F8A" w:rsidRDefault="00450A49" w:rsidP="00450A49">
      <w:pPr>
        <w:pStyle w:val="Heading1"/>
        <w:spacing w:line="360" w:lineRule="auto"/>
        <w:rPr>
          <w:color w:val="000000" w:themeColor="text1"/>
          <w:sz w:val="24"/>
          <w:szCs w:val="24"/>
        </w:rPr>
      </w:pPr>
      <w:bookmarkStart w:id="0" w:name="_Toc101544562"/>
      <w:r w:rsidRPr="00944F8A">
        <w:rPr>
          <w:color w:val="000000" w:themeColor="text1"/>
          <w:sz w:val="24"/>
          <w:szCs w:val="24"/>
        </w:rPr>
        <w:t>Chapter 1</w:t>
      </w:r>
      <w:bookmarkStart w:id="1" w:name="_Toc101229627"/>
      <w:r w:rsidRPr="00944F8A">
        <w:rPr>
          <w:color w:val="000000" w:themeColor="text1"/>
          <w:sz w:val="24"/>
          <w:szCs w:val="24"/>
        </w:rPr>
        <w:t>: Population dynamics of a globally rare yet locally abundant endemic monocarpic perennial (</w:t>
      </w:r>
      <w:proofErr w:type="spellStart"/>
      <w:r w:rsidRPr="00944F8A">
        <w:rPr>
          <w:i/>
          <w:iCs/>
          <w:color w:val="000000" w:themeColor="text1"/>
          <w:sz w:val="24"/>
          <w:szCs w:val="24"/>
        </w:rPr>
        <w:t>Oenoethera</w:t>
      </w:r>
      <w:proofErr w:type="spellEnd"/>
      <w:r w:rsidRPr="00944F8A">
        <w:rPr>
          <w:i/>
          <w:iCs/>
          <w:color w:val="000000" w:themeColor="text1"/>
          <w:sz w:val="24"/>
          <w:szCs w:val="24"/>
        </w:rPr>
        <w:t xml:space="preserve"> coloradensis</w:t>
      </w:r>
      <w:r w:rsidRPr="00944F8A">
        <w:rPr>
          <w:color w:val="000000" w:themeColor="text1"/>
          <w:sz w:val="24"/>
          <w:szCs w:val="24"/>
        </w:rPr>
        <w:t>)</w:t>
      </w:r>
      <w:bookmarkEnd w:id="0"/>
      <w:bookmarkEnd w:id="1"/>
    </w:p>
    <w:p w14:paraId="628FF639" w14:textId="77777777" w:rsidR="00450A49" w:rsidRPr="001626B1" w:rsidRDefault="00450A49" w:rsidP="00450A49">
      <w:pPr>
        <w:pStyle w:val="Heading2"/>
        <w:spacing w:line="480" w:lineRule="auto"/>
        <w:rPr>
          <w:rFonts w:ascii="Times New Roman" w:hAnsi="Times New Roman" w:cs="Times New Roman"/>
          <w:b w:val="0"/>
          <w:bCs w:val="0"/>
          <w:color w:val="000000" w:themeColor="text1"/>
          <w:sz w:val="24"/>
          <w:szCs w:val="24"/>
        </w:rPr>
      </w:pPr>
      <w:bookmarkStart w:id="2" w:name="_Toc101229628"/>
      <w:bookmarkStart w:id="3" w:name="_Toc101544563"/>
      <w:r w:rsidRPr="001626B1">
        <w:rPr>
          <w:rFonts w:ascii="Times New Roman" w:hAnsi="Times New Roman" w:cs="Times New Roman"/>
          <w:color w:val="000000" w:themeColor="text1"/>
          <w:sz w:val="24"/>
          <w:szCs w:val="24"/>
        </w:rPr>
        <w:t>Abstract</w:t>
      </w:r>
      <w:bookmarkEnd w:id="2"/>
      <w:bookmarkEnd w:id="3"/>
    </w:p>
    <w:p w14:paraId="47E5CEC2" w14:textId="77777777" w:rsidR="00450A49" w:rsidRPr="001626B1" w:rsidRDefault="00450A49" w:rsidP="00450A49">
      <w:pPr>
        <w:spacing w:line="480" w:lineRule="auto"/>
        <w:rPr>
          <w:rFonts w:ascii="Times New Roman" w:hAnsi="Times New Roman" w:cs="Times New Roman"/>
          <w:color w:val="000000" w:themeColor="text1"/>
        </w:rPr>
      </w:pPr>
      <w:r w:rsidRPr="001626B1">
        <w:rPr>
          <w:rFonts w:ascii="Times New Roman" w:hAnsi="Times New Roman" w:cs="Times New Roman"/>
          <w:color w:val="000000" w:themeColor="text1"/>
        </w:rPr>
        <w:t xml:space="preserve">The persistence of naturally rare species has long been a motivating question for ecologists. Classical theory implies that community dynamics should be driven by common species, and that natural selection should not allow small populations of rare species to persist over long periods. And yet, a majority of the species found on earth are rare. Rare species contribute to diversity, community stability, and ecosystem function, and several mechanisms have been proposed to explain their persistence. We used size-based integral projection models (IPMs) to examine the population dynamics of </w:t>
      </w:r>
      <w:r w:rsidRPr="001626B1">
        <w:rPr>
          <w:rFonts w:ascii="Times New Roman" w:hAnsi="Times New Roman" w:cs="Times New Roman"/>
          <w:i/>
          <w:iCs/>
          <w:color w:val="000000" w:themeColor="text1"/>
        </w:rPr>
        <w:t>Oenothera coloradensis</w:t>
      </w:r>
      <w:r w:rsidRPr="001626B1">
        <w:rPr>
          <w:rFonts w:ascii="Times New Roman" w:hAnsi="Times New Roman" w:cs="Times New Roman"/>
          <w:color w:val="000000" w:themeColor="text1"/>
        </w:rPr>
        <w:t xml:space="preserve">, a rare, endemic, monocarpic perennial forb, and determined whether any of five proposed demographic mechanisms for rare species persistence were acting in populations of this species. We also evaluated the importance of including a discrete seedbank stage in population models of this species, and simulated population growth under different climate scenarios to assess the persistence outlook for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populations. We determined that including a seedbank stage in population models has a significant impact on modeled </w:t>
      </w:r>
      <w:r w:rsidRPr="001626B1">
        <w:rPr>
          <w:rFonts w:ascii="Times New Roman" w:hAnsi="Times New Roman" w:cs="Times New Roman"/>
          <w:i/>
          <w:iCs/>
          <w:color w:val="000000" w:themeColor="text1"/>
        </w:rPr>
        <w:t xml:space="preserve">O. coloradensis </w:t>
      </w:r>
      <w:r w:rsidRPr="001626B1">
        <w:rPr>
          <w:rFonts w:ascii="Times New Roman" w:hAnsi="Times New Roman" w:cs="Times New Roman"/>
          <w:color w:val="000000" w:themeColor="text1"/>
        </w:rPr>
        <w:t xml:space="preserve">population growth rate. IPMs that included a size-based continuous state and discrete seedbank state indicated that negative density-dependence is acting to maintain the positive growth rates we observed in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w:t>
      </w:r>
      <w:r w:rsidRPr="001626B1">
        <w:rPr>
          <w:rFonts w:ascii="Times New Roman" w:hAnsi="Times New Roman" w:cs="Times New Roman"/>
          <w:color w:val="000000" w:themeColor="text1"/>
        </w:rPr>
        <w:lastRenderedPageBreak/>
        <w:t xml:space="preserve">subpopulations. We did not identify evidence of any other proposed mechanisms of rare species persistence. We propose that high micro-site abundance is the primary factor by which this species persists, which allows it to sidestep the demographic and genetic challenges of small population size that rare species typically face. Simulations indicate that this species is likely to persist in the future, barring the negative impacts of habitat loss. </w:t>
      </w:r>
    </w:p>
    <w:p w14:paraId="5639D173" w14:textId="77777777" w:rsidR="00450A49" w:rsidRPr="001626B1" w:rsidRDefault="00450A49" w:rsidP="00450A49">
      <w:pPr>
        <w:pStyle w:val="Heading2"/>
        <w:spacing w:line="480" w:lineRule="auto"/>
        <w:rPr>
          <w:rFonts w:ascii="Times New Roman" w:hAnsi="Times New Roman" w:cs="Times New Roman"/>
          <w:b w:val="0"/>
          <w:bCs w:val="0"/>
          <w:color w:val="000000" w:themeColor="text1"/>
          <w:sz w:val="24"/>
          <w:szCs w:val="24"/>
        </w:rPr>
      </w:pPr>
      <w:bookmarkStart w:id="4" w:name="_Toc101229629"/>
      <w:bookmarkStart w:id="5" w:name="_Toc101544564"/>
      <w:r w:rsidRPr="001626B1">
        <w:rPr>
          <w:rFonts w:ascii="Times New Roman" w:hAnsi="Times New Roman" w:cs="Times New Roman"/>
          <w:color w:val="000000" w:themeColor="text1"/>
          <w:sz w:val="24"/>
          <w:szCs w:val="24"/>
        </w:rPr>
        <w:t>Introduction</w:t>
      </w:r>
      <w:bookmarkEnd w:id="4"/>
      <w:bookmarkEnd w:id="5"/>
    </w:p>
    <w:p w14:paraId="032514FA" w14:textId="77777777" w:rsidR="00450A49" w:rsidRPr="001626B1" w:rsidRDefault="00450A49" w:rsidP="00450A49">
      <w:pPr>
        <w:spacing w:line="480" w:lineRule="auto"/>
        <w:ind w:firstLine="720"/>
        <w:rPr>
          <w:rFonts w:ascii="Times New Roman" w:hAnsi="Times New Roman" w:cs="Times New Roman"/>
          <w:color w:val="000000" w:themeColor="text1"/>
        </w:rPr>
      </w:pPr>
      <w:r w:rsidRPr="001626B1">
        <w:rPr>
          <w:rFonts w:ascii="Times New Roman" w:hAnsi="Times New Roman" w:cs="Times New Roman"/>
          <w:color w:val="000000" w:themeColor="text1"/>
        </w:rPr>
        <w:t xml:space="preserve">Determining how and why populations of naturally rare species persist in nature has been a question motivating ecologists for a long time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{"citationItems":[{"id":"ITEM-1","itemData":{"DOI":"10.1016/0006-3207(74)90061-5","ISSN":"00063207","abstract":"An operational definition of rare species might include the specification that it either occurs in widely separated, small sub-populations so that interbreeding between sub-populations is seriously reduced, or is restricted to a single population. It has usually been assumed that depauperization of habitat and reduction of genetic material have occurred in rare species, but recent studies of electrophoretically identified genetic polymorphisms suggest that some small populations and some inbreeding populations may retain considerable heterogeneity. Because different populations of a species tend to differ in genetic composition, one would expect the number of sub-populations to be more important for the population's security than the total population size. Specialization of an isolated inbreeding population to a restricted homogeneous habitat under pressure of competition should have serious ecological consequences. This reasoning suggests several conclusions. The protection of an isolated, reduced population in its present state may encourage further specialization and conservatism. In rehabilitating a relict population a first step might be to encourage it to break up into largely, but not completely, independent sub-populations. In a breeding programme, variability should be deliberately promoted as well as quick turnover between the breeding population and the wild. Very high mortality of released individuals must be expected, because it is the rule in the wild even in a rapidly increasing population. © 1974.","author":[{"dropping-particle":"","family":"Drury","given":"William H.","non-dropping-particle":"","parse-names":false,"suffix":""}],"container-title":"Biological Conservation","id":"ITEM-1","issue":"3","issued":{"date-parts":[["1974"]]},"page":"162-169","title":"Rare species","type":"article-journal","volume":"6"},"uris":["http://www.mendeley.com/documents/?uuid=554cec15-e599-473c-9ef2-838a00cf30c1"]},{"id":"ITEM-2","itemData":{"DOI":"10.1073/pnas.68.6.1246","ISSN":"0027-8424","PMID":"16591932","abstract":"A model is developed for the coexistence and exclusion of species over a region of similar habitable patches. Since the balance of local extinction and colonization would leave some patches unoccupied even without competitors, species may coexist even when all the patches are the same. Regional competition coefficients are found when species affect the local extinction or migration rates of each other. Rare species can regulate each other and even exclude other species completely.","author":[{"dropping-particle":"","family":"Levins","given":"Richard","non-dropping-particle":"","parse-names":false,"suffix":""},{"dropping-particle":"","family":"Culver","given":"David","non-dropping-particle":"","parse-names":false,"suffix":""}],"container-title":"Proceedings of the National Academy of Sciences","id":"ITEM-2","issue":"6","issued":{"date-parts":[["1971"]]},"page":"1246-1248","title":"Regional Coexistence of Species and Competition between Rare Species","type":"article-journal","volume":"68"},"uris":["http://www.mendeley.com/documents/?uuid=aca18000-9d46-4959-92bf-62fc7531d20f"]}],"mendeley":{"formattedCitation":"(Levins and Culver 1971, Drury 1974)","plainTextFormattedCitation":"(Levins and Culver 1971, Drury 1974)","previouslyFormattedCitation":"(Levins and Culver 1971, Drury 1974)"},"properties":{"noteIndex":0},"schema":"https://github.com/citation-style-language/schema/raw/master/csl-citation.json"}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(Levins and Culver 1971, Drury 1974)</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Theoretically, low population size is the last step on a trajectory toward extinction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{"citationItems":[{"id":"ITEM-1","itemData":{"DOI":"10.1007/978-94-011-5874-9_7","ISBN":"9789401064835","author":[{"dropping-particle":"","family":"Rosenzweig","given":"Michael L","non-dropping-particle":"","parse-names":false,"suffix":""},{"dropping-particle":"V","family":"Lomolino","given":"Mark","non-dropping-particle":"","parse-names":false,"suffix":""}],"container-title":"The Biology of Rarity","editor":[{"dropping-particle":"","family":"Kunin","given":"W E","non-dropping-particle":"","parse-names":false,"suffix":""},{"dropping-particle":"","family":"Gaston","given":"K J","non-dropping-particle":"","parse-names":false,"suffix":""}],"id":"ITEM-1","issued":{"date-parts":[["1997"]]},"publisher":"Chapman &amp; Hall","publisher-place":"London","title":"The Biology of Rarity","type":"chapter"},"uris":["http://www.mendeley.com/documents/?uuid=fd901551-8694-42ba-8ea8-781a2d4b6173"]},{"id":"ITEM-2","itemData":{"author":[{"dropping-particle":"","family":"Stanley","given":"Steven M.","non-dropping-particle":"","parse-names":false,"suffix":""}],"id":"ITEM-2","issued":{"date-parts":[["1979"]]},"publisher":"W. H. Freeman","title":"Macroevolution: Pattern and Process","type":"book"},"uris":["http://www.mendeley.com/documents/?uuid=e258fb71-679d-4f94-a2e8-917980bee9f4"]}],"mendeley":{"formattedCitation":"(Stanley 1979, Rosenzweig and Lomolino 1997)","plainTextFormattedCitation":"(Stanley 1979, Rosenzweig and Lomolino 1997)","previouslyFormattedCitation":"(Stanley 1979, Rosenzweig and Lomolino 1997)"},"properties":{"noteIndex":0},"schema":"https://github.com/citation-style-language/schema/raw/master/csl-citation.json"}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(Stanley 1979, Rosenzweig and Lomolino 1997)</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and yet stable populations of rare species exist in every ecosystem and across the tree of life. In fact, a large proportion of species globally – as many as 35% of plant species, for example— can be considered naturally rare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{"citationItems":[{"id":"ITEM-1","itemData":{"DOI":"10.1126/sciadv.aaz0414","ISSN":"23752548","PMID":"31807712","abstract":"A key feature of life’s diversity is that some species are common but many more are rare. Nonetheless, at global scales, we do not know what fraction of biodiversity consists of rare species. Here, we present the largest compilation of global plant diversity to quantify the fraction of Earth’s plant biodiversity that are rare. A large fraction, ~36.5% of Earth’s ~435,000 plant species, are exceedingly rare. Sampling biases and prominent models, such as neutral theory and the k-niche model, cannot account for the observed prevalence of rarity. Our results indicate that (i) climatically more stable regions have harbored rare species and hence a large fraction of Earth’s plant species via reduced extinction risk but that (ii) climate change and human land use are now disproportionately impacting rare species. Estimates of global species abundance distributions have important implications for risk assessments and conservation planning in this era of rapid global change.","author":[{"dropping-particle":"","family":"Enquist","given":"Brian J.","non-dropping-particle":"","parse-names":false,"suffix":""},{"dropping-particle":"","family":"Feng","given":"Xiao","non-dropping-particle":"","parse-names":false,"suffix":""},{"dropping-particle":"","family":"Boyle","given":"Brad","non-dropping-particle":"","parse-names":false,"suffix":""},{"dropping-particle":"","family":"Maitner","given":"Brian","non-dropping-particle":"","parse-names":false,"suffix":""},{"dropping-particle":"","family":"Newman","given":"Erica A.","non-dropping-particle":"","parse-names":false,"suffix":""},{"dropping-particle":"","family":"Jørgensen","given":"Peter Møller","non-dropping-particle":"","parse-names":false,"suffix":""},{"dropping-particle":"","family":"Roehrdanz","given":"Patrick R.","non-dropping-particle":"","parse-names":false,"suffix":""},{"dropping-particle":"","family":"Thiers","given":"Barbara M.","non-dropping-particle":"","parse-names":false,"suffix":""},{"dropping-particle":"","family":"Burger","given":"Joseph R.","non-dropping-particle":"","parse-names":false,"suffix":""},{"dropping-particle":"","family":"Corlett","given":"Richard T.","non-dropping-particle":"","parse-names":false,"suffix":""},{"dropping-particle":"","family":"Couvreur","given":"Thomas L.P.","non-dropping-particle":"","parse-names":false,"suffix":""},{"dropping-particle":"","family":"Dauby","given":"Gilles","non-dropping-particle":"","parse-names":false,"suffix":""},{"dropping-particle":"","family":"Donoghue","given":"John C.","non-dropping-particle":"","parse-names":false,"suffix":""},{"dropping-particle":"","family":"Foden","given":"Wendy","non-dropping-particle":"","parse-names":false,"suffix":""},{"dropping-particle":"","family":"Lovett","given":"Jon C.","non-dropping-particle":"","parse-names":false,"suffix":""},{"dropping-particle":"","family":"Marquet","given":"Pablo A.","non-dropping-particle":"","parse-names":false,"suffix":""},{"dropping-particle":"","family":"Merow","given":"Cory","non-dropping-particle":"","parse-names":false,"suffix":""},{"dropping-particle":"","family":"Midgley","given":"Guy","non-dropping-particle":"","parse-names":false,"suffix":""},{"dropping-particle":"","family":"Morueta-Holme","given":"Naia","non-dropping-particle":"","parse-names":false,"suffix":""},{"dropping-particle":"","family":"Neves","given":"Danilo M.","non-dropping-particle":"","parse-names":false,"suffix":""},{"dropping-particle":"","family":"Oliveira-Filho","given":"Ary T.","non-dropping-particle":"","parse-names":false,"suffix":""},{"dropping-particle":"","family":"Kraft","given":"Nathan J.B.","non-dropping-particle":"","parse-names":false,"suffix":""},{"dropping-particle":"","family":"Park","given":"Daniel S.","non-dropping-particle":"","parse-names":false,"suffix":""},{"dropping-particle":"","family":"Peet","given":"Robert K.","non-dropping-particle":"","parse-names":false,"suffix":""},{"dropping-particle":"","family":"Pillet","given":"Michiel","non-dropping-particle":"","parse-names":false,"suffix":""},{"dropping-particle":"","family":"Serra-Diaz","given":"Josep M.","non-dropping-particle":"","parse-names":false,"suffix":""},{"dropping-particle":"","family":"Sandel","given":"Brody","non-dropping-particle":"","parse-names":false,"suffix":""},{"dropping-particle":"","family":"Schildhauer","given":"Mark","non-dropping-particle":"","parse-names":false,"suffix":""},{"dropping-particle":"","family":"Šímová","given":"Irena","non-dropping-particle":"","parse-names":false,"suffix":""},{"dropping-particle":"","family":"Violle","given":"Cyrille","non-dropping-particle":"","parse-names":false,"suffix":""},{"dropping-particle":"","family":"Wieringa","given":"Jan J.","non-dropping-particle":"","parse-names":false,"suffix":""},{"dropping-particle":"","family":"Wiser","given":"Susan K.","non-dropping-particle":"","parse-names":false,"suffix":""},{"dropping-particle":"","family":"Hannah","given":"Lee","non-dropping-particle":"","parse-names":false,"suffix":""},{"dropping-particle":"","family":"Svenning","given":"Jens Christian","non-dropping-particle":"","parse-names":false,"suffix":""},{"dropping-particle":"","family":"McGill","given":"Brian J.","non-dropping-particle":"","parse-names":false,"suffix":""}],"container-title":"Science Advances","id":"ITEM-1","issue":"11","issued":{"date-parts":[["2019"]]},"page":"1-14","title":"The commonness of rarity: Global and future distribution of rarity across land plants","type":"article-journal","volume":"5"},"uris":["http://www.mendeley.com/documents/?uuid=7688c8fc-0a03-4d3e-a845-f2e7da26687a"]}],"mendeley":{"formattedCitation":"(Enquist et al. 2019)","plainTextFormattedCitation":"(Enquist et al. 2019)","previouslyFormattedCitation":"(Enquist et al. 2019)"},"properties":{"noteIndex":0},"schema":"https://github.com/citation-style-language/schema/raw/master/csl-citation.json"}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(Enquist et al. 2019)</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This implies that there must be both fundamental and realized niches that are available for these species to occupy, and that small population size is not necessarily a harbinger of extinction. A growing body of evidence shows that rare species do in fact contribute to community dynamics. For example, species-specific perturbations of rare species population dynamics have a disproportionate adverse impact on community stability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{"citationItems":[{"id":"ITEM-1","itemData":{"DOI":"10.1111/ele.13345","ISSN":"14610248","PMID":"31313468","abstract":"Empirical knowledge of diversity–stability relationships is mostly based on the analysis of temporal variability. Variability, however, often depends on external factors that act as disturbances, which makes comparisons across systems difficult to interpret. Here, we show how variability can reveal inherent stability properties of ecological communities. This requires that we abandon one-dimensional representations, in which a single variability measurement is taken as a proxy for how stable a system is, and instead consider the whole set of variability values generated by all possible stochastic perturbations. Despite this complexity, in species-rich systems, a generic pattern emerges from community assembly, relating variability to the abundance of perturbed species. Strikingly, the contrasting contributions of different species abundance classes to variability, driven by different types of perturbations, can lead to opposite diversity–stability patterns. We conclude that a multidimensional perspective on variability helps reveal the dynamical richness of ecological systems and the underlying meaning of their stability patterns.","author":[{"dropping-particle":"","family":"Arnoldi","given":"Jean François","non-dropping-particle":"","parse-names":false,"suffix":""},{"dropping-particle":"","family":"Loreau","given":"Michel","non-dropping-particle":"","parse-names":false,"suffix":""},{"dropping-particle":"","family":"Haegeman","given":"Bart","non-dropping-particle":"","parse-names":false,"suffix":""}],"container-title":"Ecology Letters","id":"ITEM-1","issue":"10","issued":{"date-parts":[["2019"]]},"page":"1557-1567","title":"The inherent multidimensionality of temporal variability: how common and rare species shape stability patterns","type":"article-journal","volume":"22"},"uris":["http://www.mendeley.com/documents/?uuid=591e2070-cd61-4f76-93b5-7f3522170451"]},{"id":"ITEM-2","itemData":{"DOI":"10.1038/s41598-019-47541-6","ISSN":"20452322","PMID":"31366907","abstract":"The ecological importance of common species for many ecosystem processes and functions is unquestionably due to their high abundance. Yet, the importance of rare species is much less understood. Here we take a theoretical approach, exposing dynamical models of ecological networks to small perturbations, to explore the dynamical importance of rare and common species. We find that both species types contribute to the recovery of communities following generic perturbations (i.e. perturbations affecting all species). Yet, when perturbations are selective (i.e. affects only one species), perturbations to rare species have the most pronounced effect on community stability. We show that this is due to the strong indirect effects induced by perturbations to rare species. Because indirect effects typically set in at longer timescales, our results indicate that the importance of rare species may be easily overlooked and thus underrated. Hence, our study provides a potential ecological motive for the management and protection of rare species.","author":[{"dropping-particle":"","family":"Säterberg","given":"Torbjörn","non-dropping-particle":"","parse-names":false,"suffix":""},{"dropping-particle":"","family":"Jonsson","given":"Tomas","non-dropping-particle":"","parse-names":false,"suffix":""},{"dropping-particle":"","family":"Yearsley","given":"Jon","non-dropping-particle":"","parse-names":false,"suffix":""},{"dropping-particle":"","family":"Berg","given":"Sofia","non-dropping-particle":"","parse-names":false,"suffix":""},{"dropping-particle":"","family":"Ebenman","given":"Bo","non-dropping-particle":"","parse-names":false,"suffix":""}],"container-title":"Scientific reports","id":"ITEM-2","issue":"1","issued":{"date-parts":[["2019"]]},"page":"11107","title":"A potential role for rare species in ecosystem dynamics","type":"article-journal","volume":"9"},"uris":["http://www.mendeley.com/documents/?uuid=c78458a3-5e94-4b98-90f0-21aefe970ba0"]}],"mendeley":{"formattedCitation":"(Arnoldi et al. 2019, Säterberg et al. 2019)","plainTextFormattedCitation":"(Arnoldi et al. 2019, Säterberg et al. 2019)","previouslyFormattedCitation":"(Arnoldi et al. 2019, Säterberg et al. 2019)"},"properties":{"noteIndex":0},"schema":"https://github.com/citation-style-language/schema/raw/master/csl-citation.json"}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(Arnoldi et al. 2019, Säterberg et al. 2019)</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The presence and abundance of rare species can also significantly alter community functional composition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{"citationItems":[{"id":"ITEM-1","itemData":{"DOI":"10.1016/j.biocon.2022.109491","ISSN":"00063207","abstract":"Biodiverse communities have been shown to sustain high levels of multifunctionality and thus a loss of species likely negatively impacts ecosystem functions. For most taxa, however, roles of individual species are poorly known. Rare species, often most likely to go extinct, may have unique traits and functional roles. Alternatively, rare species may be functionally redundant, such that their loss would not disrupt ecosystem functions. We quantified the functional role of rare species by using captures of wood-living (saproxylic) beetle species, combined with recent databases of morphological and ecological traits, from three regions in central and northern Europe. Using a rarity index based on species' local abundance, geographic range, and habitat breadth, we used local and regional species removal simulations to examine the contributions of both the rarest and the most common beetle species to three measures of community functional structure: functional richness, functional specialization, and functional originality. Both regionally and locally, all three measures declined more rapidly when rare species were removed than under common (or random) species removal scenarios. These consistent patterns across scales and among forest types give evidence that rare species provide unique functional contributions, and their loss may disproportionately impact ecosystem functions. This implies that conservation measures targeting rare and endangered species, such as preserving intact forests with dead wood and mature trees, can provide broader ecosystem-level benefits. Experimental research linking functional structure to ecosystem processes should be prioritized to increase understanding of the functional consequences of species loss and to develop more effective conservation strategies.","author":[{"dropping-particle":"","family":"Burner","given":"Ryan C.","non-dropping-particle":"","parse-names":false,"suffix":""},{"dropping-particle":"","family":"Drag","given":"Lukas","non-dropping-particle":"","parse-names":false,"suffix":""},{"dropping-particle":"","family":"Stephan","given":"Jörg G.","non-dropping-particle":"","parse-names":false,"suffix":""},{"dropping-particle":"","family":"Birkemoe","given":"Tone","non-dropping-particle":"","parse-names":false,"suffix":""},{"dropping-particle":"","family":"Wetherbee","given":"Ross","non-dropping-particle":"","parse-names":false,"suffix":""},{"dropping-particle":"","family":"Muller","given":"Jörg","non-dropping-particle":"","parse-names":false,"suffix":""},{"dropping-particle":"","family":"Siitonen","given":"Juha","non-dropping-particle":"","parse-names":false,"suffix":""},{"dropping-particle":"","family":"Snäll","given":"Tord","non-dropping-particle":"","parse-names":false,"suffix":""},{"dropping-particle":"","family":"Skarpaas","given":"Olav","non-dropping-particle":"","parse-names":false,"suffix":""},{"dropping-particle":"","family":"Potterf","given":"Mária","non-dropping-particle":"","parse-names":false,"suffix":""},{"dropping-particle":"","family":"Doerfler","given":"Inken","non-dropping-particle":"","parse-names":false,"suffix":""},{"dropping-particle":"","family":"Gossner","given":"Martin M.","non-dropping-particle":"","parse-names":false,"suffix":""},{"dropping-particle":"","family":"Schall","given":"Peter","non-dropping-particle":"","parse-names":false,"suffix":""},{"dropping-particle":"","family":"Weisser","given":"Wolfgang W.","non-dropping-particle":"","parse-names":false,"suffix":""},{"dropping-particle":"","family":"Sverdrup-Thygeson","given":"Anne","non-dropping-particle":"","parse-names":false,"suffix":""}],"container-title":"Biological Conservation","id":"ITEM-1","issue":"June 2021","issued":{"date-parts":[["2022"]]},"title":"Functional structure of European forest beetle communities is enhanced by rare species","type":"article-journal","volume":"267"},"uris":["http://www.mendeley.com/documents/?uuid=fb987443-647f-439a-857b-5dc71717cc7a"]},{"id":"ITEM-2","itemData":{"DOI":"10.1098/rspb.2016.0084","ISSN":"14712954","PMID":"27053754","abstract":"There is broad consensus that the diversity of functional traits within species assemblages drives several ecological processes. It is also widely recognized that rare species are the first to become extinct following human-induced disturbances. Surprisingly, however, the functional importance of rare species is still poorly understood, particularly in tropical species-rich assemblages where the majority of species are rare, and the rate of species extinction can be high. Here, we investigated the consequences of local and regional extinctions on the functional structure of species assemblages. We used three extensive datasets (stream fish from the Brazilian Amazon, rainforest trees from French Guiana, and birds from the Australian Wet Tropics) and built an integrative measure of species rarity versuscommonness, combining local abundance, geographical range, andhabitat breadth. Using different scenarios of species loss, we found a disproportionate impact of rare species extinction for the three groups, with significant reductions in levels of functional richness, specialization, and originality of assemblages, which may severely undermine the integrity of ecological processes. The whole breadth of functional abilities within species assemblages, which is disproportionately supported by rare species, is certainly critical in maintaining ecosystems particularly under the ongoing rapid environmental transitions.","author":[{"dropping-particle":"","family":"Leitão","given":"Rafael P.","non-dropping-particle":"","parse-names":false,"suffix":""},{"dropping-particle":"","family":"Zuanon","given":"Jansen","non-dropping-particle":"","parse-names":false,"suffix":""},{"dropping-particle":"","family":"Villéger","given":"Sébastien","non-dropping-particle":"","parse-names":false,"suffix":""},{"dropping-particle":"","family":"Williams","given":"Stephen E.","non-dropping-particle":"","parse-names":false,"suffix":""},{"dropping-particle":"","family":"Baraloto","given":"Christopher","non-dropping-particle":"","parse-names":false,"suffix":""},{"dropping-particle":"","family":"Fortune","given":"Claire","non-dropping-particle":"","parse-names":false,"suffix":""},{"dropping-particle":"","family":"Mendonça","given":"Fernando P.","non-dropping-particle":"","parse-names":false,"suffix":""},{"dropping-particle":"","family":"Mouillot","given":"David","non-dropping-particle":"","parse-names":false,"suffix":""}],"container-title":"Proceedings of the Royal Society B: Biological Sciences","id":"ITEM-2","issue":"1828","issued":{"date-parts":[["2016"]]},"title":"Rare species contribute disproportionately to the functional structure of species assemblages","type":"article-journal","volume":"283"},"uris":["http://www.mendeley.com/documents/?uuid=8302325e-f41f-42aa-be33-d8603262498b"]}],"mendeley":{"formattedCitation":"(Leitão et al. 2016, Burner et al. 2022)","plainTextFormattedCitation":"(Leitão et al. 2016, Burner et al. 2022)","previouslyFormattedCitation":"(Leitão et al. 2016, Burner et al. 2022)"},"properties":{"noteIndex":0},"schema":"https://github.com/citation-style-language/schema/raw/master/csl-citation.json"}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(Leitão et al. 2016, Burner et al. 2022)</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which in turn impacts ecosystem function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{"citationItems":[{"id":"ITEM-1","itemData":{"DOI":"10.1111/j.1523-1739.2005.00106.x","ISSN":"08888892","abstract":"The role of diversity in the maintenance of ecosystems has been studied widely in the past decade. By correlating richness and diversity with basic ecosystem processes, these investigations lend support to the hypothesis that species diversity significantly influences ecosystem functioning and, in turn, provide support for the conservation of biodiversity. Nonetheless, the majority of these investigations demonstrate that conservation of a relatively small number of generally dominant species is sufficient to maintain most processes. Indeed, there is remarkably little evidence to support the contention that less common species, those likely of highest conservation concern, are important in the maintenance of ecosystem functioning. Here we summarize studies, most employing alternative methodological strategies, wherein less common and rare species are demonstrated to make significant contributions to ecosystem functioning. Evidence exists among studies of keystone species, aggregate effects of less common species, and species turnover. Our findings suggest that (1) less common species can make significant ecosystem contributions; (2) further investigation into the effects of rare and less common species on ecosystem maintenance is sorely needed; (3) further investigation should embrace a variety of approaches; and (4) until further research is conducted a prudent conservation approach is warranted wherein the contribution of less common species to ecosystem functioning is assumed. ©2005 Society for Conservation Biology.","author":[{"dropping-particle":"","family":"Lyons","given":"K. G.","non-dropping-particle":"","parse-names":false,"suffix":""},{"dropping-particle":"","family":"Brigham","given":"C. A.","non-dropping-particle":"","parse-names":false,"suffix":""},{"dropping-particle":"","family":"Traut","given":"B. H.","non-dropping-particle":"","parse-names":false,"suffix":""},{"dropping-particle":"","family":"Schwartz","given":"M. W.","non-dropping-particle":"","parse-names":false,"suffix":""}],"container-title":"Conservation Biology","id":"ITEM-1","issue":"4","issued":{"date-parts":[["2005"]]},"page":"1019-1024","title":"Rare species and ecosystem functioning","type":"article-journal","volume":"19"},"uris":["http://www.mendeley.com/documents/?uuid=b0984c4c-2559-4be3-b8d6-6ec72e9eeca5"]}],"mendeley":{"formattedCitation":"(Lyons et al. 2005)","plainTextFormattedCitation":"(Lyons et al. 2005)","previouslyFormattedCitation":"(Lyons et al. 2005)"},"properties":{"noteIndex":0},"schema":"https://github.com/citation-style-language/schema/raw/master/csl-citation.json"}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(Lyons et al. 2005)</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Rare species can also reduce the success of invasive species, and are the primary drivers of global diversity patterns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{"citationItems":[{"id":"ITEM-1","itemData":{"DOI":"10.1046/j.1461-0248.2001.00235.x","ISSN":"1461023X","abstract":"The imminent decline in species diversity coupled with increasing exotic species introductions has provoked investigation into the role of resident diversity in community resistance to exotic species colonization. Here we present the results of a field study using an experimental method in which diversity was altered by removal of less abundant species and the resulting disturbance was controlled for by removal of an equivalent amount of biomass of the most common species from paired plots. Following these manipulations, the exotic grass, Lolium temulentum, was introduced. We found that exotic species establishment was higher in plots in which diversity was successfully reduced by removal treatments and was inversely related to imposed species richness. These results demonstrate that less common species can significantly influence invasion events and highlight the potential role of less common species in the maintenance of ecosystem function.","author":[{"dropping-particle":"","family":"Lyons","given":"K. G.","non-dropping-particle":"","parse-names":false,"suffix":""},{"dropping-particle":"","family":"Schwartz","given":"M. W.","non-dropping-particle":"","parse-names":false,"suffix":""}],"container-title":"Ecology Letters","id":"ITEM-1","issue":"4","issued":{"date-parts":[["2001"]]},"page":"358-365","title":"Rare species loss alters ecosystem function - Invasion resistance","type":"article-journal","volume":"4"},"uris":["http://www.mendeley.com/documents/?uuid=0b3ffc42-e779-4f09-800c-4cb79d555c7a"]}],"mendeley":{"formattedCitation":"(Lyons and Schwartz 2001)","plainTextFormattedCitation":"(Lyons and Schwartz 2001)","previouslyFormattedCitation":"(Lyons and Schwartz 2001)"},"properties":{"noteIndex":0},"schema":"https://github.com/citation-style-language/schema/raw/master/csl-citation.json"}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(Lyons and Schwartz 2001)</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These reasons, as well as the inherent and unquantifiable value of any species, make rare species particularly </w:t>
      </w:r>
      <w:r w:rsidRPr="001626B1">
        <w:rPr>
          <w:rFonts w:ascii="Times New Roman" w:hAnsi="Times New Roman" w:cs="Times New Roman"/>
          <w:color w:val="000000" w:themeColor="text1"/>
        </w:rPr>
        <w:lastRenderedPageBreak/>
        <w:t xml:space="preserve">important for conservation, particularly since their low natural abundances render them especially susceptible to local extirpation or even global extinction. </w:t>
      </w:r>
    </w:p>
    <w:p w14:paraId="40A27963" w14:textId="77777777" w:rsidR="00450A49" w:rsidRDefault="00450A49" w:rsidP="00450A49">
      <w:pPr>
        <w:spacing w:line="480" w:lineRule="auto"/>
        <w:rPr>
          <w:rFonts w:ascii="Times New Roman" w:eastAsia="Times New Roman" w:hAnsi="Times New Roman" w:cs="Times New Roman"/>
          <w:color w:val="000000" w:themeColor="text1"/>
        </w:rPr>
      </w:pPr>
      <w:r w:rsidRPr="001626B1">
        <w:rPr>
          <w:rFonts w:ascii="Times New Roman" w:hAnsi="Times New Roman" w:cs="Times New Roman"/>
          <w:color w:val="000000" w:themeColor="text1"/>
        </w:rPr>
        <w:tab/>
        <w:t xml:space="preserve">Effective conservation and management of rare species requires a detailed understanding of both the conditions causing rarity in the first place, and the demographic mechanisms that allow rare species to persist. Causes of rarity can vary from highly-specific habitat requirements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{"citationItems":[{"id":"ITEM-1","itemData":{"DOI":"10.1111/oik.04855","ISBN":"0000000204163","ISSN":"16000706","abstract":"Ecological communities are composed of a few common and several rare species. Many studies have evaluated the shape of abundance distribution curves, but few studies have assessed the causes of rarity. Using a dataset of stream macroinvertebrates, we investigated whether the excess of rare species in three focal communities of stones in riffles were common 1) in other habitats at the same stream site and period of sampling (environment), 2) in other stream sites in the same habitat and period of sampling (space), and 3) in other years in the same stream site and habitat (time). We observed that around 28% of the rare species were common in other habitats (environment), stream sites (space) or years (time). Among the three factors, rarity was mostly explained by habitat type, whereas a significant portion of the rare species in riffles were common in pools, submerged roots of terrestrial plants or in partially submerged moss patches. This result suggests that the presence in non-optimum habitat is a strong determinant of the rarity observed in natural communities and most rare species are due to sampling artifacts or accidentally sampled transient species.","author":[{"dropping-particle":"","family":"Sgarbi","given":"Luciano F.","non-dropping-particle":"","parse-names":false,"suffix":""},{"dropping-particle":"","family":"Melo","given":"Adriano S.","non-dropping-particle":"","parse-names":false,"suffix":""}],"container-title":"Oikos","id":"ITEM-1","issue":"4","issued":{"date-parts":[["2018"]]},"page":"497-506","title":"You don’t belong here: explaining the excess of rare species in terms of habitat, space and time","type":"article-journal","volume":"127"},"uris":["http://www.mendeley.com/documents/?uuid=884d2d68-286b-4181-97a8-5bbcf9b144c4"]}],"mendeley":{"formattedCitation":"(Sgarbi and Melo 2018)","plainTextFormattedCitation":"(Sgarbi and Melo 2018)","previouslyFormattedCitation":"(Sgarbi and Melo 2018)"},"properties":{"noteIndex":0},"schema":"https://github.com/citation-style-language/schema/raw/master/csl-citation.json"}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(Sgarbi and Melo 2018)</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to adverse impacts of anthropogenic environmental change. Rarity makes a species or population susceptible to a host of challenges, primarily the negative effects of stochasticity. Demographic, environmental, and genetic stochasticity describe random variation in demographic rates, abiotic environmental conditions, and genetic allele frequencies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{"citationItems":[{"id":"ITEM-1","itemData":{"author":[{"dropping-particle":"","family":"May","given":"Robert M","non-dropping-particle":"","parse-names":false,"suffix":""}],"container-title":"The American Naturalist","id":"ITEM-1","issue":"957","issued":{"date-parts":[["1973"]]},"page":"621-650","title":"Stability in Randomly Fluctuating Versus Deterministic Environments","type":"article-journal","volume":"107"},"uris":["http://www.mendeley.com/documents/?uuid=712d7154-951a-4697-9c1b-f9bd05979309"]}],"mendeley":{"formattedCitation":"(May 1973)","plainTextFormattedCitation":"(May 1973)","previouslyFormattedCitation":"(May 1973)"},"properties":{"noteIndex":0},"schema":"https://github.com/citation-style-language/schema/raw/master/csl-citation.json"}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(May 1973)</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Random deleterious changes in the environment, in demographic rates or in genotype can easily cause extirpation or even extinction in small populations, since there may not be enough unaffected individuals or subpopulations to “rescue” the affected population from the ill effects of these stochastic events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author":[{"dropping-particle":"","family":"Nei","given":"Masatoshi","non-dropping-particle":"","parse-names":false,"suffix":""},{"dropping-particle":"","family":"Maruyama","given":"Takeo","non-dropping-particle":"","parse-names":false,"suffix":""},{"dropping-particle":"","family":"Chakraborty","given":"Ranajit","non-dropping-particle":"","parse-names":false,"suffix":""}],"container-title":"Evolution","id":"ITEM-1","issue":"1","issued":{"date-parts":[["1975"]]},"page":"1-10","title":"The Bottleneck Effect and Genetic Variability in Populations","type":"article-journal","volume":"29"},"uris":["http://www.mendeley.com/documents/?uuid=79d68083-035e-492d-8cf0-bca63ebdc6ba"]}],"mendeley":{"formattedCitation":"(Nei et al. 1975)","plainTextFormattedCitation":"(Nei et al. 1975)","previouslyFormattedCitation":"(Nei et al. 1975)"},"properties":{"noteIndex":0},"schema":"https://github.com/citation-style-language/schema/raw/master/csl-citation.json"}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(Nei et al. 1975)</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Rare species that are able to maintain populations over time typically do so by employing certain demographic strategies that compensate for the adverse effects of small population size. There are five main strategies that allow persistence of rare populations (Fig. 1)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Monographs","id":"ITEM-1","issue":"2","issued":{"date-parts":[["2019"]]},"page":"1-16","title":"Multiple mechanisms confer stability to isolated populations of a rare endemic plant","type":"article-journal","volume":"89"},"uris":["http://www.mendeley.com/documents/?uuid=657bb168-36a6-49a5-9886-9859d9fb8c3c"]}],"mendeley":{"formattedCitation":"(Dibner et al. 2019)","plainTextFormattedCitation":"(Dibner et al. 2019)","previouslyFormattedCitation":"(Dibner et al.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(Dibner et al. 2019)</w:t>
      </w:r>
      <w:r w:rsidRPr="001626B1">
        <w:rPr>
          <w:rFonts w:ascii="Times New Roman" w:eastAsia="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w:t>
      </w:r>
      <w:r w:rsidRPr="001626B1">
        <w:rPr>
          <w:rFonts w:ascii="Times New Roman" w:eastAsia="Times New Roman" w:hAnsi="Times New Roman" w:cs="Times New Roman"/>
          <w:color w:val="000000" w:themeColor="text1"/>
        </w:rPr>
        <w:t xml:space="preserve">negative density-dependence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{"citationItems":[{"id":"ITEM-1","itemData":{"DOI":"10.1111/geb.12871","ISSN":"14668238","abstract":"Aim: Why are so many species rare, yet persistent? Possibly, rare species experience strong negative frequency dependence (NFD, i.e. strong intraspecific competition relative to interspecific competition), which both makes them rare and buffers them against extinction. A second, not mutually exclusive, possibility is that rare species that experience weak NFD go extinct quickly due to demographic and environmental stochasticity. Both possibilities predict that persistent rare species will experience stronger NFD than common ones. A previous study confirmed this prediction in a range of mostly terrestrial communities. Here, we test that prediction in lake zooplankton and explore its theoretical basis. Location: Fifty-three temperate lakes. Time period: 1970–2011. Major taxa studied: Cladocerans, copepods. Methods: We used long-term time series data to estimate the covariance between strength of NFD and mean frequency (relative abundance) for crustacean zooplankton. We used a randomization test to ask whether the covariance between NFD and mean frequency is stronger than expected, given sampling error. We also calculated the covariance between NFD and mean frequency in simulated communities from three different ecological models. Results: Rare species experience significantly stronger NFD than common species in over half of the communities. The distribution of associations between NFD and rarity is skewed towards weak associations, which always occur in communities with high evenness. All three theoretical models reproduce these empirical results, even though they are based on different mechanisms (demographic or environmental stochasticity, and mathematical constraints on possible NFD–frequency relationships). Main conclusions: Rare species typically experience stronger NFD than common ones because there are many different ecological scenarios in which they will do so, and only a few scenarios in which they won’t. Like several other macroecological patterns, the tendency for rare species to experience stronger NFD than common ones is a “statistical attractor” that is hard to avoid.","author":[{"dropping-particle":"","family":"Rovere","given":"Jacob","non-dropping-particle":"","parse-names":false,"suffix":""},{"dropping-particle":"","family":"Fox","given":"Jeremy W.","non-dropping-particle":"","parse-names":false,"suffix":""}],"container-title":"Global Ecology and Biogeography","id":"ITEM-1","issue":"4","issued":{"date-parts":[["2019"]]},"page":"508-520","title":"Persistently rare species experience stronger negative frequency dependence than common species: A statistical attractor that is hard to avoid","type":"article-journal","volume":"28"},"uris":["http://www.mendeley.com/documents/?uuid=13e54825-a94c-4814-a1fb-bdd9f0c4e4f3"]}],"mendeley":{"formattedCitation":"(Rovere and Fox 2019)","plainTextFormattedCitation":"(Rovere and Fox 2019)","previouslyFormattedCitation":"(Rovere and Fox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(Rovere and Fox 2019)</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demographic compensation</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2015)","plainTextFormattedCitation":"(Villellas et al. 2015)","previouslyFormattedCitation":"(Villellas et al. 2015)"},"properties":{"noteIndex":0},"schema":"https://github.com/citation-style-language/schema/raw/master/csl-citation.json"}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w:t>
      </w:r>
      <w:proofErr w:type="spellStart"/>
      <w:r w:rsidRPr="001626B1">
        <w:rPr>
          <w:rFonts w:ascii="Times New Roman" w:eastAsia="Times New Roman" w:hAnsi="Times New Roman" w:cs="Times New Roman"/>
          <w:noProof/>
          <w:color w:val="000000" w:themeColor="text1"/>
        </w:rPr>
        <w:t>Villellas</w:t>
      </w:r>
      <w:proofErr w:type="spellEnd"/>
      <w:r w:rsidRPr="001626B1">
        <w:rPr>
          <w:rFonts w:ascii="Times New Roman" w:eastAsia="Times New Roman" w:hAnsi="Times New Roman" w:cs="Times New Roman"/>
          <w:noProof/>
          <w:color w:val="000000" w:themeColor="text1"/>
        </w:rPr>
        <w:t xml:space="preserve"> et al. 2015)</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vital rate buffering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{"citationItems":[{"id":"ITEM-1","itemData":{"DOI":"10.1016/j.tree.2020.02.004","ISSN":"01695347","abstract":"In (st)age-structured populations, the long-run population growth rate is negatively affected by temporal variation in vital rates. In most cases, natural selection should minimize temporal variation in the vital rates to which the long-run population growth is most sensitive, resulting in demographic buffering. By reviewing empirical studies on demographic buffering in wild populations, we found overall support for this hypothesis. However, we also identified issues when testing for demographic buffering. In particular, solving scaling problems for decomposing, measuring, and comparing stochastic variation in vital rates and accounting for density dependence are required in future tests of demographic buffering. In the current context of climate change, demographic buffering may mitigate the negative impact of environmental variation and help populations to persist in an increasingly variable environment.","author":[{"dropping-particle":"","family":"Hilde","given":"Christoffer H.","non-dropping-particle":"","parse-names":false,"suffix":""},{"dropping-particle":"","family":"Gamelon","given":"Marlène","non-dropping-particle":"","parse-names":false,"suffix":""},{"dropping-particle":"","family":"Sæther","given":"Bernt Erik","non-dropping-particle":"","parse-names":false,"suffix":""},{"dropping-particle":"","family":"Gaillard","given":"Jean Michel","non-dropping-particle":"","parse-names":false,"suffix":""},{"dropping-particle":"","family":"Yoccoz","given":"Nigel G.","non-dropping-particle":"","parse-names":false,"suffix":""},{"dropping-particle":"","family":"Pélabon","given":"Christophe","non-dropping-particle":"","parse-names":false,"suffix":""}],"container-title":"Trends in Ecology and Evolution","id":"ITEM-1","issue":"xx","issued":{"date-parts":[["2020"]]},"publisher":"The Authors","title":"The Demographic Buffering Hypothesis: Evidence and Challenges","type":"article-journal","volume":"xx"},"uris":["http://www.mendeley.com/documents/?uuid=750786e2-e766-4d20-9561-3b49d89e6a02"]},{"id":"ITEM-2","itemData":{"DOI":"10.1086/382550","ISSN":"00030147","PMID":"15122504","abstract":"Life-history theory predicts vital rates that on average make large contributions to the annual multiplication rate of a lineage should be highly buffered against environmental variability. This prediction has been tested by looking for a negative correlation between the sensitivities (or elasticities) of the elements in a projection matrix and their variances (or coefficients of variation). Here, we show by constructing random matrices that a spurious negative correlation exists between the sensitivities and variances, and between the elasticities and coefficients of variation, of matrix elements. This spurious correlation arises in part because size transition probabilities, which are bounded by 0 and 1, have a limit to their variability that often does not apply to matrix elements representing reproduction. We advocate an alternative analysis based on the underlying vital rates (not the matrix elements) that accounts for the inherent limit to the variability of zero-to-one vital rates, corrects for sampling variation, and tests for a declining upper limit to variability as a vital rate's fitness contribution increases. Applying this analysis to demographic data from five populations of the alpine cushion plant Silene acaulis, we provide evidence of stronger buffering in the vital rates that most influence fitness.","author":[{"dropping-particle":"","family":"Morris","given":"William F.","non-dropping-particle":"","parse-names":false,"suffix":""},{"dropping-particle":"","family":"Doak","given":"Daniel F.","non-dropping-particle":"","parse-names":false,"suffix":""}],"container-title":"American Naturalist","id":"ITEM-2","issue":"4","issued":{"date-parts":[["2004"]]},"page":"579-590","title":"Buffering of Life Histories against Environmental Stochasticity: Accounting for a Spurious Correlation between the Variabilities of Vital Rates and Their Contributions to Fitness","type":"article-journal","volume":"163"},"uris":["http://www.mendeley.com/documents/?uuid=35750ad5-7c63-46b8-b970-434f758404e2"]}],"mendeley":{"formattedCitation":"(Morris and Doak 2004, Hilde et al. 2020)","plainTextFormattedCitation":"(Morris and Doak 2004, Hilde et al. 2020)","previouslyFormattedCitation":"(Morris and Doak 2004, Hilde et al. 2020)"},"properties":{"noteIndex":0},"schema":"https://github.com/citation-style-language/schema/raw/master/csl-citation.json"}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(Morris and Doak 2004, Hilde et al. 2020)</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asynchronous responses between subpopulations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{"citationItems":[{"id":"ITEM-1","itemData":{"DOI":"10.1002/ecy.1738","ISSN":"00129658","PMID":"28112402","abstract":"The mechanisms that stabilize small populations in the face of environmental variation are crucial to their long-term persistence. Building from diversity–stability concepts in community ecology, within-population diversity is gaining attention as an important component of population stability. Genetic and microhabitat variation within populations can generate diverse responses to common environmental fluctuations, dampening temporal variability across the population as a whole through portfolio effects. Yet, the potential for portfolio effects to operate at small scales within populations or to change with systematic environmental shifts, such as climate change, remain largely unexplored. We tracked the abundance of a rare alpine perennial plant, Saussurea weberi, in 49 1-m2 plots within a single population over 20 yr. We estimated among-plot correlations in log annual growth rate to test for population-level synchrony and quantify portfolio effects across the 20-yr study period and also in 5-yr subsets based on June temperature quartiles. Asynchrony among plots, due to different plot-level responses to June temperature, reduced overall fluctuations in abundance and the probability of decline in population models, even when accounting for the effects of density dependence on dynamics. However, plots became more synchronous and portfolio effects decreased during the warmest years of the study, suggesting that future climate warming may erode stabilizing mechanisms in populations of this rare plant.","author":[{"dropping-particle":"","family":"Abbott","given":"Ronald E.","non-dropping-particle":"","parse-names":false,"suffix":""},{"dropping-particle":"","family":"Doak","given":"Daniel F.","non-dropping-particle":"","parse-names":false,"suffix":""},{"dropping-particle":"","family":"Peterson","given":"Megan L.","non-dropping-particle":"","parse-names":false,"suffix":""}],"container-title":"Ecology","id":"ITEM-1","issue":"4","issued":{"date-parts":[["2017"]]},"page":"1071-1081","title":"Portfolio effects, climate change, and the persistence of small populations: analyses on the rare plant Saussurea weberi","type":"article-journal","volume":"98"},"uris":["http://www.mendeley.com/documents/?uuid=e28727f2-e488-46cb-90d6-5a8531ef1c53"]}],"mendeley":{"formattedCitation":"(Abbott et al. 2017)","plainTextFormattedCitation":"(Abbott et al. 2017)","previouslyFormattedCitation":"(Abbott et al. 2017)"},"properties":{"noteIndex":0},"schema":"https://github.com/citation-style-language/schema/raw/master/csl-citation.json"}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(Abbott et al. 2017)</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and fine-scale source-sink dynamics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{"citationItems":[{"id":"ITEM-1","itemData":{"author":[{"dropping-particle":"","family":"Pulliam","given":"H Ronald","non-dropping-particle":"","parse-names":false,"suffix":""}],"id":"ITEM-1","issue":"5","issued":{"date-parts":[["2016"]]},"page":"652-661","title":"Sources , Sinks , and Population Regulation Author ( s ): H . Ronald Pulliam Published by : The University of Chicago Press for The American Society of Naturalists Stable URL : http://www.jstor.org/stable/2461927 Accessed : 17-03-2016 21 : 27 UTC Your use","type":"article-journal","volume":"132"},"uris":["http://www.mendeley.com/documents/?uuid=834acd29-d1fd-48b5-859b-9644987c7369"]},{"id":"ITEM-2","itemData":{"DOI":"10.1086/424763","ISSN":"00030147","PMID":"15540149","abstract":"The recovery of the peregrine falcon (Falco peregrinus anatum) in California has taken place amid strong geographical differences in habitat quality, potentially creating a sink population in the southern coastal habitat and source populations in the northern interior and urban habitats. We analyzed long-term monitoring data to investigate the mechanisms and consequences of spatial structuring for the recovery of this set of nonstable subpopulations. Dispersal rates between habitats were asymmetric, with extremely limited dispersal out of the interior habitat and a strong tendency for birds in the southern coast to disperse to the urban habitats. We used these dispersal estimates and habitat-specific productivity rates to build a set of regional population models that describe population growth within and dispersal between each subpopulation. We tested for the existence of habitat-specific survival and territory acquisition rates by comparing model projections with the number of breeding pairs censused annually in each subpopulation. Our analyses indicate a high rate of survival for interior birds and suggest that both the interior and urban subpopulations were regulated by territory availability over the study period. The inherent spatial structure of this regional peregrine falcon population has had a considerable influence on its recovery and management.","author":[{"dropping-particle":"","family":"Kauffman","given":"Matthew J.","non-dropping-particle":"","parse-names":false,"suffix":""},{"dropping-particle":"","family":"Pollock","given":"Jacob F.","non-dropping-particle":"","parse-names":false,"suffix":""},{"dropping-particle":"","family":"Walton","given":"Brian","non-dropping-particle":"","parse-names":false,"suffix":""}],"container-title":"American Naturalist","id":"ITEM-2","issue":"5","issued":{"date-parts":[["2004"]]},"page":"582-597","title":"Spatial structure, dispersal, and management of a recovering raptor population","type":"article-journal","volume":"164"},"uris":["http://www.mendeley.com/documents/?uuid=212b0f47-855b-4c32-b17c-e3b8a0bce672"]}],"mendeley":{"formattedCitation":"(Kauffman et al. 2004, Pulliam 2016)","plainTextFormattedCitation":"(Kauffman et al. 2004, Pulliam 2016)","previouslyFormattedCitation":"(Kauffman et al. 2004, Pulliam 2016)"},"properties":{"noteIndex":0},"schema":"https://github.com/citation-style-language/schema/raw/master/csl-citation.json"}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(Kauffman et al. 2004, Pulliam 2016)</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w:t>
      </w:r>
    </w:p>
    <w:p w14:paraId="34179825" w14:textId="77777777" w:rsidR="00450A49" w:rsidRPr="001626B1" w:rsidRDefault="00450A49" w:rsidP="00450A49">
      <w:pPr>
        <w:spacing w:line="480" w:lineRule="auto"/>
        <w:ind w:firstLine="720"/>
        <w:rPr>
          <w:rFonts w:ascii="Times New Roman" w:eastAsia="Times New Roman" w:hAnsi="Times New Roman" w:cs="Times New Roman"/>
          <w:color w:val="000000" w:themeColor="text1"/>
        </w:rPr>
      </w:pPr>
      <w:r w:rsidRPr="001626B1">
        <w:rPr>
          <w:rFonts w:ascii="Times New Roman" w:eastAsia="Times New Roman" w:hAnsi="Times New Roman" w:cs="Times New Roman"/>
          <w:color w:val="000000" w:themeColor="text1"/>
        </w:rPr>
        <w:t>Negative density-dependence occurs when the growth rate (</w:t>
      </w:r>
      <w:r w:rsidRPr="001626B1">
        <w:rPr>
          <w:rFonts w:ascii="Times New Roman" w:eastAsia="HGSMinchoE" w:hAnsi="Times New Roman" w:cs="Times New Roman"/>
          <w:color w:val="000000" w:themeColor="text1"/>
        </w:rPr>
        <w:t xml:space="preserve">λ) of a population increases with decreasing population size. Demographic compensation occurs when different vital rates, such as growth, survival, or reproduction, are affected in opposing ways by the same perturbation in the environment, which can help maintain a relatively constant population growth </w:t>
      </w:r>
      <w:r w:rsidRPr="001626B1">
        <w:rPr>
          <w:rFonts w:ascii="Times New Roman" w:eastAsia="HGSMinchoE" w:hAnsi="Times New Roman" w:cs="Times New Roman"/>
          <w:color w:val="000000" w:themeColor="text1"/>
        </w:rPr>
        <w:lastRenderedPageBreak/>
        <w:t xml:space="preserve">rate in response to environmental variation. Vital rate buffering occurs when the variability of vital rates decreases as the vital rate becomes more important (i.e., has a higher elasticity) for determining population growth rate, which prevents λ from fluctuating as the environment changes. Spatial asynchrony occurs when subpopulations close to one another in space have different or even opposing growth rates, stabilizing λ for the entire population. Fine-scale source-sink dynamics occur when there is gene flow between subpopulations, either by migration, pollination, or seed dispersal, that bolsters the size and genetic diversity of very small subpopulations, which stabilizes λ for the population as a whole. Each of these above mechanisms can act independently, but also can interact or overlap with other mechanisms. The most effective conservation and management plans for rare populations will differ according to which of these persistence mechanisms is operating. </w:t>
      </w:r>
    </w:p>
    <w:p w14:paraId="0834915F" w14:textId="77777777" w:rsidR="00450A49" w:rsidRPr="001626B1" w:rsidRDefault="00450A49" w:rsidP="00450A49">
      <w:pPr>
        <w:spacing w:line="480" w:lineRule="auto"/>
        <w:rPr>
          <w:rFonts w:ascii="Times New Roman" w:hAnsi="Times New Roman" w:cs="Times New Roman"/>
          <w:color w:val="000000" w:themeColor="text1"/>
        </w:rPr>
      </w:pPr>
    </w:p>
    <w:p w14:paraId="63B99964" w14:textId="77777777" w:rsidR="00450A49" w:rsidRPr="001626B1" w:rsidRDefault="00450A49" w:rsidP="00450A49">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D94327" wp14:editId="09F20E2E">
            <wp:extent cx="5705475" cy="4581525"/>
            <wp:effectExtent l="0" t="0" r="0" b="3175"/>
            <wp:docPr id="63" name="Picture 6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imeline&#10;&#10;Description automatically generated"/>
                    <pic:cNvPicPr/>
                  </pic:nvPicPr>
                  <pic:blipFill rotWithShape="1">
                    <a:blip r:embed="rId8">
                      <a:extLst>
                        <a:ext uri="{28A0092B-C50C-407E-A947-70E740481C1C}">
                          <a14:useLocalDpi xmlns:a14="http://schemas.microsoft.com/office/drawing/2010/main" val="0"/>
                        </a:ext>
                      </a:extLst>
                    </a:blip>
                    <a:srcRect l="1923" t="5795" r="2084" b="4275"/>
                    <a:stretch/>
                  </pic:blipFill>
                  <pic:spPr bwMode="auto">
                    <a:xfrm>
                      <a:off x="0" y="0"/>
                      <a:ext cx="5706338" cy="4582218"/>
                    </a:xfrm>
                    <a:prstGeom prst="rect">
                      <a:avLst/>
                    </a:prstGeom>
                    <a:ln>
                      <a:noFill/>
                    </a:ln>
                    <a:extLst>
                      <a:ext uri="{53640926-AAD7-44D8-BBD7-CCE9431645EC}">
                        <a14:shadowObscured xmlns:a14="http://schemas.microsoft.com/office/drawing/2010/main"/>
                      </a:ext>
                    </a:extLst>
                  </pic:spPr>
                </pic:pic>
              </a:graphicData>
            </a:graphic>
          </wp:inline>
        </w:drawing>
      </w:r>
    </w:p>
    <w:p w14:paraId="623E6DCA" w14:textId="122F5B53" w:rsidR="00450A49" w:rsidRPr="001626B1" w:rsidRDefault="001603B3" w:rsidP="00450A49">
      <w:pPr>
        <w:spacing w:line="360" w:lineRule="auto"/>
        <w:rPr>
          <w:rFonts w:ascii="Times New Roman" w:eastAsia="Times New Roman" w:hAnsi="Times New Roman" w:cs="Times New Roman"/>
          <w:color w:val="000000" w:themeColor="text1"/>
        </w:rPr>
      </w:pPr>
      <w:commentRangeStart w:id="6"/>
      <w:commentRangeStart w:id="7"/>
      <w:r>
        <w:rPr>
          <w:rFonts w:ascii="Times New Roman" w:eastAsia="Times New Roman" w:hAnsi="Times New Roman" w:cs="Times New Roman"/>
          <w:b/>
          <w:bCs/>
          <w:color w:val="000000" w:themeColor="text1"/>
        </w:rPr>
        <w:t>Figure 1</w:t>
      </w:r>
      <w:commentRangeEnd w:id="6"/>
      <w:r>
        <w:rPr>
          <w:rStyle w:val="CommentReference"/>
        </w:rPr>
        <w:commentReference w:id="6"/>
      </w:r>
      <w:commentRangeEnd w:id="7"/>
      <w:r>
        <w:rPr>
          <w:rStyle w:val="CommentReference"/>
        </w:rPr>
        <w:commentReference w:id="7"/>
      </w:r>
      <w:r w:rsidR="00450A49" w:rsidRPr="001626B1">
        <w:rPr>
          <w:rFonts w:ascii="Times New Roman" w:eastAsia="Times New Roman" w:hAnsi="Times New Roman" w:cs="Times New Roman"/>
          <w:color w:val="000000" w:themeColor="text1"/>
        </w:rPr>
        <w:t xml:space="preserve">: The evidence that would be required to show support for each of the five mechanisms that can act to maintain populations of rare species.  </w:t>
      </w:r>
    </w:p>
    <w:p w14:paraId="1006BDC5" w14:textId="77777777" w:rsidR="00450A49" w:rsidRPr="001626B1" w:rsidRDefault="00450A49" w:rsidP="00450A49">
      <w:pPr>
        <w:rPr>
          <w:rFonts w:ascii="Times New Roman" w:eastAsia="Times New Roman" w:hAnsi="Times New Roman" w:cs="Times New Roman"/>
          <w:color w:val="000000" w:themeColor="text1"/>
        </w:rPr>
      </w:pPr>
    </w:p>
    <w:p w14:paraId="6DAAEACE" w14:textId="77777777" w:rsidR="00450A49" w:rsidRPr="001626B1" w:rsidRDefault="00450A49" w:rsidP="00450A49">
      <w:pPr>
        <w:spacing w:line="480" w:lineRule="auto"/>
        <w:ind w:firstLine="720"/>
        <w:rPr>
          <w:rFonts w:ascii="Times New Roman" w:hAnsi="Times New Roman" w:cs="Times New Roman"/>
          <w:color w:val="000000" w:themeColor="text1"/>
        </w:rPr>
      </w:pPr>
      <w:r w:rsidRPr="001626B1">
        <w:rPr>
          <w:rFonts w:ascii="Times New Roman" w:hAnsi="Times New Roman" w:cs="Times New Roman"/>
          <w:color w:val="000000" w:themeColor="text1"/>
        </w:rPr>
        <w:t xml:space="preserve">We use size-based integral population models (IPMs)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(Easterling et al. 2000)</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w:t>
      </w:r>
      <w:r w:rsidRPr="001626B1">
        <w:rPr>
          <w:rFonts w:ascii="Times New Roman" w:eastAsia="Times New Roman" w:hAnsi="Times New Roman" w:cs="Times New Roman"/>
          <w:color w:val="000000" w:themeColor="text1"/>
        </w:rPr>
        <w:t xml:space="preserve">that include a discrete seedbank population state to identify which mechanisms are contributing to the persistence and in some cases population growth of a naturally rare, endemic plant species, </w:t>
      </w:r>
      <w:r w:rsidRPr="001626B1">
        <w:rPr>
          <w:rFonts w:ascii="Times New Roman" w:eastAsia="Times New Roman" w:hAnsi="Times New Roman" w:cs="Times New Roman"/>
          <w:i/>
          <w:iCs/>
          <w:color w:val="000000" w:themeColor="text1"/>
        </w:rPr>
        <w:t>Oenothera coloradensis</w:t>
      </w:r>
      <w:r w:rsidRPr="001626B1">
        <w:rPr>
          <w:rFonts w:ascii="Times New Roman" w:eastAsia="Times New Roman" w:hAnsi="Times New Roman" w:cs="Times New Roman"/>
          <w:color w:val="000000" w:themeColor="text1"/>
        </w:rPr>
        <w:t xml:space="preserve"> (</w:t>
      </w:r>
      <w:proofErr w:type="spellStart"/>
      <w:r w:rsidRPr="001626B1">
        <w:rPr>
          <w:rFonts w:ascii="Times New Roman" w:eastAsia="Times New Roman" w:hAnsi="Times New Roman" w:cs="Times New Roman"/>
          <w:color w:val="000000" w:themeColor="text1"/>
        </w:rPr>
        <w:t>Onagraceae</w:t>
      </w:r>
      <w:proofErr w:type="spellEnd"/>
      <w:r w:rsidRPr="001626B1">
        <w:rPr>
          <w:rFonts w:ascii="Times New Roman" w:eastAsia="Times New Roman" w:hAnsi="Times New Roman" w:cs="Times New Roman"/>
          <w:color w:val="000000" w:themeColor="text1"/>
        </w:rPr>
        <w:t xml:space="preserve">). </w:t>
      </w:r>
      <w:r w:rsidRPr="001626B1">
        <w:rPr>
          <w:rFonts w:ascii="Times New Roman" w:hAnsi="Times New Roman" w:cs="Times New Roman"/>
          <w:i/>
          <w:iCs/>
          <w:color w:val="000000" w:themeColor="text1"/>
        </w:rPr>
        <w:t>Oenothera coloradensis</w:t>
      </w:r>
      <w:r w:rsidRPr="001626B1">
        <w:rPr>
          <w:rFonts w:ascii="Times New Roman" w:hAnsi="Times New Roman" w:cs="Times New Roman"/>
          <w:color w:val="000000" w:themeColor="text1"/>
        </w:rPr>
        <w:t xml:space="preserve"> is monocarpic perennial forb that occurs in riparian habitats in southeastern Wyoming, northern Colorado, and western Nebraska. It was listed as “threatened” under the Endangered Species Act from 2000 until 2019, when it was delisted due to “recovery”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Nebraska","type":"article-journal","volume":"65"},"uris":["http://www.mendeley.com/documents/?uuid=821723a2-2c66-4c9e-a7dc-22fb21e906cf"]},{"id":"ITEM-2","itemData":{"author":[{"dropping-particle":"","family":"Everson","given":"Margaret E","non-dropping-particle":"","parse-names":false,"suffix":""}],"container-title":"Federal Register: The Daily Journal of the United States","id":"ITEM-2","issue":"214","issued":{"date-parts":[["2019"]]},"page":"59570-59588","title":"Endangered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Plants","type":"article-journal","volume":"84"},"uris":["http://www.mendeley.com/documents/?uuid=276c0e49-951d-42c8-9236-8953e9ac06a0"]}],"mendeley":{"formattedCitation":"(Jennings 2000, Everson 2019)","plainTextFormattedCitation":"(Jennings 2000, Everson 2019)","previouslyFormattedCitation":"(Jennings 2000, Everson 2019)"},"properties":{"noteIndex":0},"schema":"https://github.com/citation-style-language/schema/raw/master/csl-citation.json"}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(Jennings 2000, Everson 2019)</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The largest known populations occur on the FE Warren Airforce Base (FEWAFB) near Cheyenne, WY, and the Soapstone </w:t>
      </w:r>
      <w:r w:rsidRPr="001626B1">
        <w:rPr>
          <w:rFonts w:ascii="Times New Roman" w:hAnsi="Times New Roman" w:cs="Times New Roman"/>
          <w:color w:val="000000" w:themeColor="text1"/>
        </w:rPr>
        <w:lastRenderedPageBreak/>
        <w:t xml:space="preserve">Prairie Natural Area in Larimer County, CO. We conducted a three-year demographic study of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subpopulations at the FEWAFB and Soapstone prairie, and used the resulting vital rate information to parameterize a set of IPMs that account for the effects of density dependence, abiotic variation, and demographic and environmental stochasticity on observed and simulated population growth rates. </w:t>
      </w:r>
    </w:p>
    <w:p w14:paraId="50FEE289" w14:textId="77777777" w:rsidR="00450A49" w:rsidRPr="001626B1" w:rsidRDefault="00450A49" w:rsidP="00450A49">
      <w:pPr>
        <w:spacing w:line="480" w:lineRule="auto"/>
        <w:ind w:firstLine="720"/>
        <w:rPr>
          <w:rFonts w:ascii="Times New Roman" w:hAnsi="Times New Roman" w:cs="Times New Roman"/>
          <w:b/>
          <w:bCs/>
          <w:color w:val="000000" w:themeColor="text1"/>
        </w:rPr>
      </w:pPr>
      <w:r w:rsidRPr="001626B1">
        <w:rPr>
          <w:rFonts w:ascii="Times New Roman" w:hAnsi="Times New Roman" w:cs="Times New Roman"/>
          <w:color w:val="000000" w:themeColor="text1"/>
        </w:rPr>
        <w:t xml:space="preserve">Our first objective was to determine if including information about the seedbank significantly altered population models for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There is evidence that seeds of this species can persist in the soil, and can maintain viability for at least five years in laboratory conditions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(Burgess et al. 2005)</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Seedbanks can serve as important reservoirs of genetic diversity and can buffer populations against collapse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{"citationItems":[{"id":"ITEM-1","itemData":{"DOI":"10.1111/j.1365-2664.2006.01228.x","ISSN":"00218901","abstract":"1. The invasive thistle Carduus nutans causes major economic losses in the Americas, Australia and New Zealand. For the first time, we have modelled its population dynamics in its native range, Eurasia, where it rarely reaches problematic densities, in order to identify ways to improve management strategies for this weed in the invaded range. 2. In particular, we investigated whether specialist enemies in the thistle's native range suppress thistle populations, as predicted by the enemy-release hypothesis, and, if so, how this effect relates to other factors that may limit population growth. 3. We constructed population transition matrix models with data from three French populations. A vital rate elasticity analysis revealed that reproduction determines between 33% and 61% of the projected growth rate of the populations, and thus is a key driver of the population dynamics of this monocarpic short-lived perennial. 4. Decreases in population size were predicted by the models for all three populations (λ &lt; 1). Using limiting factor omission analyses, we showed that the suite of native insect herbivores causing seed losses had a larger impact than the joint effects of rosette damage by sheep and summer drought acting on seedling establishment. Removal of insect herbivores increased the native population growth rate by 166% on average; removal of sheep damage and summer drought from the model increased population growth by 51%. Specialist herbivores and drought interacted synergistically to affect reproduction. 5. Synthesis and applications. We show that vital rate elasticity analysis provides more management information than elasticity analysis on the level of matrix elements, particularly when management options affect only certain vital rates. For example, it can be used to make predictions about the effectiveness of predispersal floral herbivores in control management. The model can also help identify ways in which biocontrol can be augmented using integrated weed management that reduces seedling establishment probabilities, for example by preventing overgrazing. This method illustrates how native range studies of invasive species can be used to generate insights into managing populations in the invaded range. © 2006 The Authors.","author":[{"dropping-particle":"","family":"Jongejans","given":"Eelke","non-dropping-particle":"","parse-names":false,"suffix":""},{"dropping-particle":"","family":"Sheppard","given":"Andy W.","non-dropping-particle":"","parse-names":false,"suffix":""},{"dropping-particle":"","family":"Shea","given":"Katriona","non-dropping-particle":"","parse-names":false,"suffix":""}],"container-title":"Journal of Applied Ecology","id":"ITEM-1","issue":"5","issued":{"date-parts":[["2006"]]},"page":"877-886","title":"What controls the population dynamics of the invasive thistle Carduus nutans in its native range?","type":"article-journal","volume":"43"},"uris":["http://www.mendeley.com/documents/?uuid=5ff7b08c-85c3-4600-b437-69e97dce5b3b"]},{"id":"ITEM-2","itemData":{"DOI":"10.1086/381041","ISSN":"00030147","PMID":"14970929","abstract":"In many annual plant populations, seeds may be dormant for several seasons before they germinate. Here, we investigate the consequences of both conditional (dispersed seeds cannot enter a dormant stage) and unconditional seed dormancy on the amount aid the distribution of neutral genetic diversity within and among populations. We present joint demographic and population genetics models for single and subdivided populations and derive the effective size and population differentiation at both local and metapopulation scales. We suggest that a Wahlund effect is unlikely to result from age structure alone. Furthermore, the differentiation among populations is decreased by the presence of seed banks. We also extend these models to describe monocarpic (semelparous) perennial life cycle, where the nonreproductive stages are vegetative rosettes instead of dormant seeds. The main difference between the models relies in the way the density-dependent regulation is acting. The effective size of monocarpic perennial species may be less than the census number of individuals, and among-population differentiation is always larger than in annual species. We discuss our results in the light of recent population genetics surveys of annual plants with seed banks.","author":[{"dropping-particle":"","family":"Vitalis","given":"Renaud","non-dropping-particle":"","parse-names":false,"suffix":""},{"dropping-particle":"","family":"Glémin","given":"Sylvain","non-dropping-particle":"","parse-names":false,"suffix":""},{"dropping-particle":"","family":"Olivieri","given":"Isabelle","non-dropping-particle":"","parse-names":false,"suffix":""}],"container-title":"American Naturalist","id":"ITEM-2","issue":"2","issued":{"date-parts":[["2004"]]},"page":"295-311","title":"When genes go to sleep: The population genetic consequences of seed dormancy and monocarpic perenniality","type":"article-journal","volume":"163"},"uris":["http://www.mendeley.com/documents/?uuid=b0edbb53-4790-48fb-86b0-f9db4dea74bf"]}],"mendeley":{"formattedCitation":"(Vitalis et al. 2004, Jongejans et al. 2006)","plainTextFormattedCitation":"(Vitalis et al. 2004, Jongejans et al. 2006)","previouslyFormattedCitation":"(Vitalis et al. 2004, Jongejans et al. 2006)"},"properties":{"noteIndex":0},"schema":"https://github.com/citation-style-language/schema/raw/master/csl-citation.json"}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(Vitalis et al. 2004, Jongejans et al. 2006)</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They can be especially critical for monocarpic perennials that only flower once in their lifetime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{"citationItems":[{"id":"ITEM-1","itemData":{"DOI":"10.1086/505762","ISBN":"0003-0147","ISSN":"0003-0147","PMID":"16874623","abstract":"We explore the effects of temporal variation in multiple demographic rates on the joint evolution of delayed reproduction and seed dormancy using integral projection models (IPMs). To do this, we extend the standard IPM to include a discrete state variable representing the number of seeds in the seed bank, density-dependent recruitment, and temporal variation in demography. Parameter estimates for Carlina vulgaris and Carduus nutans are obtained from long-term studies. Carlina is relatively long lived and has a short-lived seed bank, whereas most Carduus plants flower in their first year and the seed bank is long lived. Using the evolutionarily stable strategy (ESS) approach, we predict the observed flowering and germination strategies. There is excellent agreement between the predictions and the field observations. The effects of temporal variation on the joint ESS are partitioned into components arising from nonlinear averaging (systematic changes in the mean resulting from the interaction between variability and nonlinearity) and nonequilibrium dynamics (fluctuations in fitness caused by temporal variation). This shows that temporal variation can have substantial effects on the observed flowering and germination strategies and that covariance between demographic processes is important. We extend the models to include spatial population structure and assess the robustness of the results from the nonspatial models.","author":[{"dropping-particle":"","family":"Rees","given":"Mark","non-dropping-particle":"","parse-names":false,"suffix":""},{"dropping-particle":"","family":"Childs","given":"Dylan Z.","non-dropping-particle":"","parse-names":false,"suffix":""},{"dropping-particle":"","family":"Metcalf","given":"C. Jessica E.","non-dropping-particle":"","parse-names":false,"suffix":""},{"dropping-particle":"","family":"Rose","given":"Karen E.","non-dropping-particle":"","parse-names":false,"suffix":""},{"dropping-particle":"","family":"Sheppard","given":"Andy W","non-dropping-particle":"","parse-names":false,"suffix":""},{"dropping-particle":"","family":"Grubb","given":"Peter J","non-dropping-particle":"","parse-names":false,"suffix":""}],"container-title":"The American Naturalist","id":"ITEM-1","issue":"2","issued":{"date-parts":[["2006"]]},"page":"E53-E71","title":"Seed dormancy and delayed flowering in monocarpic plants: selective interactions in a stochastic environment.","type":"article-journal","volume":"168"},"uris":["http://www.mendeley.com/documents/?uuid=e60764e2-1671-4e86-abd1-49812285d6bb"]}],"mendeley":{"formattedCitation":"(Rees et al. 2006)","plainTextFormattedCitation":"(Rees et al. 2006)","previouslyFormattedCitation":"(Rees et al. 2006)"},"properties":{"noteIndex":0},"schema":"https://github.com/citation-style-language/schema/raw/master/csl-citation.json"}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(Rees et al. 2006)</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If many plants reproduce in a year that initially seems favorable, but then experience conditions later in the season that limit seed production, a seedbank can rescue the population by providing a source of new recruits in the subsequent year. For these reasons, we expected that a soil seedbank is important for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Seedbanks are often not included in population models because their parameters can be very difficult to estimate, but previous work shows that including them can significantly alter model outcomes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models","type":"article-journal","volume":"126"},"uris":["http://www.mendeley.com/documents/?uuid=43ed3b29-94b8-4286-8d6a-e2b7763b671f"]},{"id":"ITEM-2","itemData":{"DOI":"10.1016/j.ecolmodel.2019.108723","ISSN":"03043800","abstract":"Information on individuals from all stages of life is crucial to explore their ecology, evolution and conservation biology. However, the life cycles of many species contain cryptic life stages that are difficult to detect and track over time and are therefore omitted from demographic models. One example is the dormant seed bank, an evolutionary bet-hedging mechanism that buffers plant populations in variable environments. To evaluate this methodological oversight, we conduct simulations to explore the effect of seed bank parameter uncertainties on demographic outputs such as the deterministic (λ1) and stochastic population growth rate (λS), and extinction probabilities of 12 plant species. We have used uninformed and informed priors for seed bank parameters based on literature estimates, and reconstructed published models in which the seed bank was excluded without justification. Trials on removing the seed stage from models (6 species) explored the worst-case scenario for ignoring the seed bank. Inclusion of a seed bank and demographic uncertainty in seed bank parameters have little impact on stable populations (λ1 ≈ 1) with high post-seedling survival. When populations deviate from stability or demonstrate temporal demographic variation, greater changes in λ1 and the range of possible growth rates caused by demographic uncertainty are observed. As expected, decreasing populations (λ1 &lt; 1) benefit from the inclusion of a seed bank through increases in the growth rate and extinction times, whereas increasing populations (λ1 &gt; 1) are slowed down. While germination estimates from the literature cannot accurately reflect those obtained in the field, they provide a starting point to assess the relative importance of a seed bank. The exclusion of the seed bank must be justified by confirming that dormancy is either non-existent or not important. Accounting for cryptic stages in demographic models will produce better informed management decisions for threatened or invasive species.","author":[{"dropping-particle":"","family":"Nguyen","given":"Vuong","non-dropping-particle":"","parse-names":false,"suffix":""},{"dropping-particle":"","family":"Buckley","given":"Yvonne M.","non-dropping-particle":"","parse-names":false,"suffix":""},{"dropping-particle":"","family":"Salguero-Gómez","given":"Roberto","non-dropping-particle":"","parse-names":false,"suffix":""},{"dropping-particle":"","family":"Wardle","given":"Glenda M.","non-dropping-particle":"","parse-names":false,"suffix":""}],"container-title":"Ecological Modelling","id":"ITEM-2","issue":"June","issued":{"date-parts":[["2019"]]},"title":"Consequences of neglecting cryptic life stages from demographic models","type":"article-journal","volume":"408"},"uris":["http://www.mendeley.com/documents/?uuid=f0b13044-6923-4f88-ad25-b8cd0271b9b4"]}],"mendeley":{"formattedCitation":"(Paniw et al. 2017, Nguyen et al. 2019)","plainTextFormattedCitation":"(Paniw et al. 2017, Nguyen et al. 2019)","previouslyFormattedCitation":"(Paniw et al. 2017, Nguyen et al. 2019)"},"properties":{"noteIndex":0},"schema":"https://github.com/citation-style-language/schema/raw/master/csl-citation.json"}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(Paniw et al. 2017, Nguyen et al. 2019)</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We predicted that including a discrete seedbank state in IPMs would increase the projected </w:t>
      </w:r>
      <w:r w:rsidRPr="001626B1">
        <w:rPr>
          <w:rFonts w:ascii="Times New Roman" w:eastAsia="HGSMinchoE" w:hAnsi="Times New Roman" w:cs="Times New Roman"/>
          <w:color w:val="000000" w:themeColor="text1"/>
        </w:rPr>
        <w:t xml:space="preserve">λ for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populations. </w:t>
      </w:r>
    </w:p>
    <w:p w14:paraId="5D458BCB" w14:textId="77777777" w:rsidR="00450A49" w:rsidRPr="001626B1" w:rsidRDefault="00450A49" w:rsidP="00450A49">
      <w:pPr>
        <w:spacing w:line="480" w:lineRule="auto"/>
        <w:ind w:firstLine="720"/>
        <w:rPr>
          <w:rFonts w:ascii="Times New Roman" w:eastAsia="Times New Roman" w:hAnsi="Times New Roman" w:cs="Times New Roman"/>
          <w:color w:val="000000" w:themeColor="text1"/>
        </w:rPr>
      </w:pPr>
      <w:r w:rsidRPr="001626B1">
        <w:rPr>
          <w:rFonts w:ascii="Times New Roman" w:hAnsi="Times New Roman" w:cs="Times New Roman"/>
          <w:color w:val="000000" w:themeColor="text1"/>
        </w:rPr>
        <w:t xml:space="preserve">Our second objective was to identify whether any of the five persistence mechanisms was acting to maintain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populations. </w:t>
      </w:r>
      <w:r w:rsidRPr="001626B1">
        <w:rPr>
          <w:rFonts w:ascii="Times New Roman" w:eastAsia="Times New Roman" w:hAnsi="Times New Roman" w:cs="Times New Roman"/>
          <w:color w:val="000000" w:themeColor="text1"/>
        </w:rPr>
        <w:t xml:space="preserve">This species occurs in habitats that naturally experience frequent, highly localized disturbance, which means that some subpopulations of </w:t>
      </w:r>
      <w:r w:rsidRPr="001626B1">
        <w:rPr>
          <w:rFonts w:ascii="Times New Roman" w:eastAsia="Times New Roman" w:hAnsi="Times New Roman" w:cs="Times New Roman"/>
          <w:i/>
          <w:iCs/>
          <w:color w:val="000000" w:themeColor="text1"/>
        </w:rPr>
        <w:t>O. coloradensis</w:t>
      </w:r>
      <w:r w:rsidRPr="001626B1">
        <w:rPr>
          <w:rFonts w:ascii="Times New Roman" w:eastAsia="Times New Roman" w:hAnsi="Times New Roman" w:cs="Times New Roman"/>
          <w:color w:val="000000" w:themeColor="text1"/>
        </w:rPr>
        <w:t xml:space="preserve"> might be negatively affected by flood, for example, while other nearby populations </w:t>
      </w:r>
      <w:r w:rsidRPr="001626B1">
        <w:rPr>
          <w:rFonts w:ascii="Times New Roman" w:eastAsia="Times New Roman" w:hAnsi="Times New Roman" w:cs="Times New Roman"/>
          <w:color w:val="000000" w:themeColor="text1"/>
        </w:rPr>
        <w:lastRenderedPageBreak/>
        <w:t xml:space="preserve">are simultaneously thriving due to lack of disturbance. Additionally, previous matrix population models constructed for this species in the 1990s found substantial variation in lambda across space and time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(Floyd and Ranker 1998)</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The population-wide pattern of asynchronous disturbance also could make source-sink dynamics important. We also have evidence of large fluctuations in the number of plants within subpopulations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(Heidel et al. 2021)</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which indicate that population growth rate decreases at high population size and increases at low population size. </w:t>
      </w:r>
      <w:r w:rsidRPr="001626B1">
        <w:rPr>
          <w:rFonts w:ascii="Times New Roman" w:hAnsi="Times New Roman" w:cs="Times New Roman"/>
          <w:color w:val="000000" w:themeColor="text1"/>
        </w:rPr>
        <w:t xml:space="preserve">Therefore, we predicted that </w:t>
      </w:r>
      <w:r w:rsidRPr="001626B1">
        <w:rPr>
          <w:rFonts w:ascii="Times New Roman" w:eastAsia="Times New Roman" w:hAnsi="Times New Roman" w:cs="Times New Roman"/>
          <w:color w:val="000000" w:themeColor="text1"/>
        </w:rPr>
        <w:t xml:space="preserve">density dependence, small-scale source-sink dynamics and asynchronous responses between subpopulations would be important mechanisms of persistence for </w:t>
      </w:r>
      <w:r w:rsidRPr="001626B1">
        <w:rPr>
          <w:rFonts w:ascii="Times New Roman" w:hAnsi="Times New Roman" w:cs="Times New Roman"/>
          <w:i/>
          <w:iCs/>
          <w:color w:val="000000" w:themeColor="text1"/>
        </w:rPr>
        <w:t>O. coloradensis</w:t>
      </w:r>
      <w:r w:rsidRPr="001626B1">
        <w:rPr>
          <w:rFonts w:ascii="Times New Roman" w:eastAsia="Times New Roman" w:hAnsi="Times New Roman" w:cs="Times New Roman"/>
          <w:color w:val="000000" w:themeColor="text1"/>
        </w:rPr>
        <w:t>.</w:t>
      </w:r>
    </w:p>
    <w:p w14:paraId="5010C569" w14:textId="77777777" w:rsidR="00450A49" w:rsidRPr="001626B1" w:rsidRDefault="00450A49" w:rsidP="00450A49">
      <w:pPr>
        <w:spacing w:line="480" w:lineRule="auto"/>
        <w:ind w:firstLine="720"/>
        <w:rPr>
          <w:rFonts w:ascii="Times New Roman" w:eastAsia="Times New Roman" w:hAnsi="Times New Roman" w:cs="Times New Roman"/>
          <w:color w:val="000000" w:themeColor="text1"/>
        </w:rPr>
      </w:pPr>
      <w:r w:rsidRPr="001626B1">
        <w:rPr>
          <w:rFonts w:ascii="Times New Roman" w:eastAsia="Times New Roman" w:hAnsi="Times New Roman" w:cs="Times New Roman"/>
          <w:color w:val="000000" w:themeColor="text1"/>
        </w:rPr>
        <w:t xml:space="preserve">Our final objective was to estimate whether the FEWAFB and Soapstone prairie </w:t>
      </w:r>
      <w:r w:rsidRPr="001626B1">
        <w:rPr>
          <w:rFonts w:ascii="Times New Roman" w:eastAsia="Times New Roman" w:hAnsi="Times New Roman" w:cs="Times New Roman"/>
          <w:i/>
          <w:color w:val="000000" w:themeColor="text1"/>
        </w:rPr>
        <w:t xml:space="preserve">O. coloradensis </w:t>
      </w:r>
      <w:r w:rsidRPr="001626B1">
        <w:rPr>
          <w:rFonts w:ascii="Times New Roman" w:eastAsia="Times New Roman" w:hAnsi="Times New Roman" w:cs="Times New Roman"/>
          <w:iCs/>
          <w:color w:val="000000" w:themeColor="text1"/>
        </w:rPr>
        <w:t xml:space="preserve">populations will persist into the future. We </w:t>
      </w:r>
      <w:r w:rsidRPr="001626B1">
        <w:rPr>
          <w:rFonts w:ascii="Times New Roman" w:eastAsia="Times New Roman" w:hAnsi="Times New Roman" w:cs="Times New Roman"/>
          <w:color w:val="000000" w:themeColor="text1"/>
        </w:rPr>
        <w:t xml:space="preserve">used IPMs for each population to simulate their trajectory 50 years into the future under two different climate scenarios, one based on climate conditions during our demographic study, and another simulating hotter and drier conditions that approximate the predicted effect of climate change at our study location. These simulations all included the effects of density dependence and demographic and environmental stochasticity. The US Fish and Wildlife service delisting of this species was based on a positive viability outlook, and suggests that the rapid decline in population sizes that prompted the initial listing decision was actually the downward portion of a sinusoidal pattern of population growth common in density-dependent species, rather than a true long-term decline in population size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{"citationItems":[{"id":"ITEM-1","itemData":{"author":[{"dropping-particle":"","family":"Everson","given":"Margaret E","non-dropping-particle":"","parse-names":false,"suffix":""}],"container-title":"Federal Register: The Daily Journal of the United States","id":"ITEM-1","issue":"214","issued":{"date-parts":[["2019"]]},"page":"59570-59588","title":"Endangered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Plants","type":"article-journal","volume":"84"},"uris":["http://www.mendeley.com/documents/?uuid=276c0e49-951d-42c8-9236-8953e9ac06a0"]}],"mendeley":{"formattedCitation":"(Everson 2019)","plainTextFormattedCitation":"(Everson 2019)","previouslyFormattedCitation":"(Everson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(Everson 2019)</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We expected that simulations of </w:t>
      </w:r>
      <w:r w:rsidRPr="001626B1">
        <w:rPr>
          <w:rFonts w:ascii="Times New Roman" w:eastAsia="Times New Roman" w:hAnsi="Times New Roman" w:cs="Times New Roman"/>
          <w:i/>
          <w:iCs/>
          <w:color w:val="000000" w:themeColor="text1"/>
        </w:rPr>
        <w:t>O. coloradensis</w:t>
      </w:r>
      <w:r w:rsidRPr="001626B1">
        <w:rPr>
          <w:rFonts w:ascii="Times New Roman" w:eastAsia="Times New Roman" w:hAnsi="Times New Roman" w:cs="Times New Roman"/>
          <w:color w:val="000000" w:themeColor="text1"/>
        </w:rPr>
        <w:t xml:space="preserve"> population growth over time generally would support this conclusion, since observed growth rates during demographic monitoring were positive. We expected that hotter and drier conditions would decrease simulated </w:t>
      </w:r>
      <w:r w:rsidRPr="001626B1">
        <w:rPr>
          <w:rFonts w:ascii="Times New Roman" w:eastAsia="Times New Roman" w:hAnsi="Times New Roman" w:cs="Times New Roman"/>
          <w:color w:val="000000" w:themeColor="text1"/>
        </w:rPr>
        <w:lastRenderedPageBreak/>
        <w:t>population growth rate, since this species appears to prefer wet habitats that are more common with higher precipitation and lower evapotranspiration.</w:t>
      </w:r>
    </w:p>
    <w:p w14:paraId="2E721EBE" w14:textId="77777777" w:rsidR="00450A49" w:rsidRPr="001626B1" w:rsidRDefault="00450A49" w:rsidP="00450A49">
      <w:pPr>
        <w:pStyle w:val="Heading2"/>
        <w:rPr>
          <w:rFonts w:ascii="Times New Roman" w:hAnsi="Times New Roman" w:cs="Times New Roman"/>
          <w:b w:val="0"/>
          <w:bCs w:val="0"/>
          <w:color w:val="000000" w:themeColor="text1"/>
          <w:sz w:val="24"/>
          <w:szCs w:val="24"/>
        </w:rPr>
      </w:pPr>
      <w:bookmarkStart w:id="8" w:name="_Toc101229630"/>
      <w:bookmarkStart w:id="9" w:name="_Toc101544565"/>
      <w:r w:rsidRPr="001626B1">
        <w:rPr>
          <w:rFonts w:ascii="Times New Roman" w:hAnsi="Times New Roman" w:cs="Times New Roman"/>
          <w:color w:val="000000" w:themeColor="text1"/>
          <w:sz w:val="24"/>
          <w:szCs w:val="24"/>
        </w:rPr>
        <w:t>Methods</w:t>
      </w:r>
      <w:bookmarkEnd w:id="8"/>
      <w:bookmarkEnd w:id="9"/>
    </w:p>
    <w:p w14:paraId="6B123171" w14:textId="77777777" w:rsidR="00450A49" w:rsidRPr="002D7E9D" w:rsidRDefault="00450A49" w:rsidP="00450A49">
      <w:pPr>
        <w:pStyle w:val="Heading3"/>
        <w:spacing w:line="480" w:lineRule="auto"/>
        <w:rPr>
          <w:rFonts w:ascii="Times New Roman" w:hAnsi="Times New Roman" w:cs="Times New Roman"/>
          <w:b w:val="0"/>
          <w:bCs w:val="0"/>
          <w:i/>
          <w:iCs/>
          <w:color w:val="000000" w:themeColor="text1"/>
        </w:rPr>
      </w:pPr>
      <w:bookmarkStart w:id="10" w:name="_Toc101229631"/>
      <w:bookmarkStart w:id="11" w:name="_Toc101544566"/>
      <w:r w:rsidRPr="002D7E9D">
        <w:rPr>
          <w:rFonts w:ascii="Times New Roman" w:hAnsi="Times New Roman" w:cs="Times New Roman"/>
          <w:b w:val="0"/>
          <w:bCs w:val="0"/>
          <w:i/>
          <w:iCs/>
          <w:color w:val="000000" w:themeColor="text1"/>
        </w:rPr>
        <w:t>Species description:</w:t>
      </w:r>
      <w:bookmarkEnd w:id="10"/>
      <w:bookmarkEnd w:id="11"/>
      <w:r w:rsidRPr="002D7E9D">
        <w:rPr>
          <w:rFonts w:ascii="Times New Roman" w:hAnsi="Times New Roman" w:cs="Times New Roman"/>
          <w:b w:val="0"/>
          <w:bCs w:val="0"/>
          <w:i/>
          <w:iCs/>
          <w:color w:val="000000" w:themeColor="text1"/>
        </w:rPr>
        <w:t xml:space="preserve"> </w:t>
      </w:r>
    </w:p>
    <w:p w14:paraId="33FFB4C3" w14:textId="77777777" w:rsidR="00450A49" w:rsidRPr="002D7E9D" w:rsidRDefault="00450A49" w:rsidP="00450A49">
      <w:pPr>
        <w:spacing w:line="480" w:lineRule="auto"/>
        <w:ind w:firstLine="360"/>
        <w:rPr>
          <w:rFonts w:ascii="Times New Roman" w:hAnsi="Times New Roman" w:cs="Times New Roman"/>
          <w:i/>
          <w:iCs/>
          <w:color w:val="000000" w:themeColor="text1"/>
        </w:rPr>
      </w:pPr>
      <w:r w:rsidRPr="002D7E9D">
        <w:rPr>
          <w:rFonts w:ascii="Times New Roman" w:hAnsi="Times New Roman" w:cs="Times New Roman"/>
          <w:i/>
          <w:iCs/>
          <w:color w:val="000000" w:themeColor="text1"/>
        </w:rPr>
        <w:t>Oenothera coloradensis</w:t>
      </w:r>
      <w:r w:rsidRPr="002D7E9D">
        <w:rPr>
          <w:rFonts w:ascii="Times New Roman" w:hAnsi="Times New Roman" w:cs="Times New Roman"/>
          <w:color w:val="000000" w:themeColor="text1"/>
        </w:rPr>
        <w:t xml:space="preserve">, formerly </w:t>
      </w:r>
      <w:r w:rsidRPr="002D7E9D">
        <w:rPr>
          <w:rFonts w:ascii="Times New Roman" w:hAnsi="Times New Roman" w:cs="Times New Roman"/>
          <w:i/>
          <w:iCs/>
          <w:color w:val="000000" w:themeColor="text1"/>
        </w:rPr>
        <w:t xml:space="preserve">Gaura </w:t>
      </w:r>
      <w:proofErr w:type="spellStart"/>
      <w:r w:rsidRPr="002D7E9D">
        <w:rPr>
          <w:rFonts w:ascii="Times New Roman" w:hAnsi="Times New Roman" w:cs="Times New Roman"/>
          <w:i/>
          <w:iCs/>
          <w:color w:val="000000" w:themeColor="text1"/>
        </w:rPr>
        <w:t>neomexicana</w:t>
      </w:r>
      <w:proofErr w:type="spellEnd"/>
      <w:r w:rsidRPr="002D7E9D">
        <w:rPr>
          <w:rFonts w:ascii="Times New Roman" w:hAnsi="Times New Roman" w:cs="Times New Roman"/>
          <w:i/>
          <w:iCs/>
          <w:color w:val="000000" w:themeColor="text1"/>
        </w:rPr>
        <w:t xml:space="preserve"> spp. coloradensis </w:t>
      </w:r>
      <w:r w:rsidRPr="002D7E9D">
        <w:rPr>
          <w:rFonts w:ascii="Times New Roman" w:hAnsi="Times New Roman" w:cs="Times New Roman"/>
          <w:i/>
          <w:iCs/>
          <w:color w:val="000000" w:themeColor="text1"/>
        </w:rPr>
        <w:fldChar w:fldCharType="begin" w:fldLock="1"/>
      </w:r>
      <w:r w:rsidRPr="002D7E9D">
        <w:rPr>
          <w:rFonts w:ascii="Times New Roman" w:hAnsi="Times New Roman" w:cs="Times New Roman"/>
          <w:i/>
          <w:iCs/>
          <w:color w:val="000000" w:themeColor="text1"/>
        </w:rPr>
        <w:instrText>ADDIN CSL_CITATION {"citationItems":[{"id":"ITEM-1","itemData":{"ISBN":"0-912861-83-5","ISSN":"0737-8211","abstract":"Recent molecular phylogenetic analyses in the plant family Onagraceae support the need for revisions in the family classification. In this paper we briefly survey the history of generic and suprageneric clas- sification in Onagraceae, summarize our knowledge of the morphological and molecular variation in the family in a phylogenetic context, and propose a revised classification that reflects that phylogeny.We include a species- level synopsis of the family, incorporating all nomenclatural changes and combinations but not full species-level synonymy. We provide descriptions of all taxa recognized for the first time, as well as tribes, genera, sections, subsections, and series. In this treatment, we recognize 22 genera in the family, subdivided into two subfamilies, subfam. Ludwigioideae (only Ludwigia) and subfam. Onagroideae (the other genera), and the latter into six tribes, two with only one genus each, three with two genera each, and one (tribe Onagreae) with 13 genera. Chro- mosome numbers and breeding system information are summarized, as is the geographical and ecological dis- tribution of each taxon. For each group we list the included taxa. Many changes involve the tribe Onagreae, from which we have segregated Gongylocarpus as its own tribe, sister to the tribes Epilobieae and Onagreae, and within which we propose changes in the delimitation of Camissonia and Oenothera. Camissonia as currently de- fined is broadly paraphyletic; our new classification recognizes nine generic lineages (Camissonia, Camisso- niopsis, Chylismia, Chylismiella, Eremothera, Eulobus, Holmgrenia, Taraxia, and Tetrapteron), which in part form a grade at the base of Oenothera. Each of these lineages is well-supported by morphological and molecu- lar data. In contrast, molecular and morphological data both suggest the need to broaden the delimitation of Oenothera to include Calylophus, Gaura, and Stenosiphon. This redefined Oenothera, strongly supported by molecular data, is marked by at least two morphological synapomorphies: the presence of an indusium on the style, and a lobed or peltate stigma. We summarize these new generic alignments and review the morphological characters used to diagnose all tribes, genera, and sections. New taxa recognized include subfamilies Ludwigioideae and Onagroideae, two genera (Camissoniopsis and Holmgrenia), three sections (Epilobium sect. Macrocarpa, Oenothera sect. Leucocoryne, and O. sect. Xan- thocoryne), and one subspecies (O. macrocar…","author":[{"dropping-particle":"","family":"Wagner","given":"Warren L","non-dropping-particle":"","parse-names":false,"suffix":""},{"dropping-particle":"","family":"Hoch","given":"Peter C","non-dropping-particle":"","parse-names":false,"suffix":""},{"dropping-particle":"","family":"Raven","given":"Peter H","non-dropping-particle":"","parse-names":false,"suffix":""}],"container-title":"Systematic Botany Monographs","id":"ITEM-1","issued":{"date-parts":[["2007","4"]]},"publisher":"The American Society of Plant Taxonomists","title":"Revised Classification of the Onagraceae","type":"book","volume":"83"},"uris":["http://www.mendeley.com/documents/?uuid=b1858453-6b8a-4fc3-a15c-2e709408f7f1"]}],"mendeley":{"formattedCitation":"(Wagner et al. 2007)","plainTextFormattedCitation":"(Wagner et al. 2007)","previouslyFormattedCitation":"(Wagner et al. 2007)"},"properties":{"noteIndex":0},"schema":"https://github.com/citation-style-language/schema/raw/master/csl-citation.json"}</w:instrText>
      </w:r>
      <w:r w:rsidRPr="002D7E9D">
        <w:rPr>
          <w:rFonts w:ascii="Times New Roman" w:hAnsi="Times New Roman" w:cs="Times New Roman"/>
          <w:i/>
          <w:iCs/>
          <w:color w:val="000000" w:themeColor="text1"/>
        </w:rPr>
        <w:fldChar w:fldCharType="separate"/>
      </w:r>
      <w:r w:rsidRPr="002D7E9D">
        <w:rPr>
          <w:rFonts w:ascii="Times New Roman" w:hAnsi="Times New Roman" w:cs="Times New Roman"/>
          <w:iCs/>
          <w:noProof/>
          <w:color w:val="000000" w:themeColor="text1"/>
        </w:rPr>
        <w:t>(Wagner et al. 2007)</w:t>
      </w:r>
      <w:r w:rsidRPr="002D7E9D">
        <w:rPr>
          <w:rFonts w:ascii="Times New Roman" w:hAnsi="Times New Roman" w:cs="Times New Roman"/>
          <w:i/>
          <w:iCs/>
          <w:color w:val="000000" w:themeColor="text1"/>
        </w:rPr>
        <w:fldChar w:fldCharType="end"/>
      </w:r>
      <w:r w:rsidRPr="002D7E9D">
        <w:rPr>
          <w:rFonts w:ascii="Times New Roman" w:hAnsi="Times New Roman" w:cs="Times New Roman"/>
          <w:color w:val="000000" w:themeColor="text1"/>
        </w:rPr>
        <w:t xml:space="preserve">, is an herbaceous, monocarpic perennial plant in the </w:t>
      </w:r>
      <w:proofErr w:type="spellStart"/>
      <w:r w:rsidRPr="002D7E9D">
        <w:rPr>
          <w:rFonts w:ascii="Times New Roman" w:hAnsi="Times New Roman" w:cs="Times New Roman"/>
          <w:color w:val="000000" w:themeColor="text1"/>
        </w:rPr>
        <w:t>Onagraceae</w:t>
      </w:r>
      <w:proofErr w:type="spellEnd"/>
      <w:r w:rsidRPr="002D7E9D">
        <w:rPr>
          <w:rFonts w:ascii="Times New Roman" w:hAnsi="Times New Roman" w:cs="Times New Roman"/>
          <w:color w:val="000000" w:themeColor="text1"/>
        </w:rPr>
        <w:t xml:space="preserve"> family. Non-reproductive plants consist of a rosette of basal leaves with a fleshy taproot. Flowering typically occurs around four years of age, when plants send up a stalk between 10 and 30 cm tall that bears flowers and fruits. Plants almost always die after flowering—93% of the time in populations we observed. Seeds are contained within small, woody, indehiscent capsules that contain two to five seeds each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(Burgess et al. 2005)</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A single adult plant can produce more than 500 capsules. This species does not reproduce vegetatively, although seeds typically germinate near the base of the parent plant, which often results in dense clumps of vegetative individuals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(Heidel et al. 2021)</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has no known specialist pollinators or seed dispersers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Wyoming","type":"report"},"uris":["http://www.mendeley.com/documents/?uuid=544a6398-b097-4e84-bc87-f1ad56b3bea1"]},{"id":"ITEM-2","itemData":{"author":[{"dropping-particle":"","family":"Floyd","given":"Sandra K","non-dropping-particle":"","parse-names":false,"suffix":""},{"dropping-particle":"","family":"Ranker","given":"Tom A","non-dropping-particle":"","parse-names":false,"suffix":""}],"container-title":"International Journal of Plant Sciences","id":"ITEM-2","issue":"5","issued":{"date-parts":[["1998"]]},"page":"853-863","title":"Analysis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 Heidel et al. 2021)","plainTextFormattedCitation":"(Floyd and Ranker 1998, Heidel et al. 2021)","previouslyFormattedCitation":"(Floyd and Ranker 1998, Heidel et al. 2021)"},"properties":{"noteIndex":0},"schema":"https://github.com/citation-style-language/schema/raw/master/csl-citation.json"}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(Floyd and Ranker 1998, Heidel et al. 2021)</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w:t>
      </w:r>
    </w:p>
    <w:p w14:paraId="73C6684A" w14:textId="77777777" w:rsidR="00450A49" w:rsidRPr="002D7E9D" w:rsidRDefault="00450A49" w:rsidP="00450A49">
      <w:pPr>
        <w:spacing w:line="480" w:lineRule="auto"/>
        <w:ind w:firstLine="360"/>
        <w:rPr>
          <w:rFonts w:ascii="Times New Roman" w:hAnsi="Times New Roman" w:cs="Times New Roman"/>
          <w:color w:val="000000" w:themeColor="text1"/>
        </w:rPr>
      </w:pPr>
      <w:r w:rsidRPr="002D7E9D">
        <w:rPr>
          <w:rFonts w:ascii="Times New Roman" w:hAnsi="Times New Roman" w:cs="Times New Roman"/>
          <w:color w:val="000000" w:themeColor="text1"/>
        </w:rPr>
        <w:t xml:space="preserve">Previous work established that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population growth rate is particularly impacted by recruitment of individuals to the small rosette, or seedling, stage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(Floyd and Ranker 1998)</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Seedling recruitment increases when non-</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biomass is removed, indicating that surrounding grasses and forbs outcompete or shade-out seedlings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(Munk et al. 2002)</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Previous work also suggests that seedbanks are important for this species, since years of high seedling density are not necessarily preceded by years of high rates of flowering and seed production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(Munk et al. 2002)</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The </w:t>
      </w:r>
      <w:r w:rsidRPr="002D7E9D">
        <w:rPr>
          <w:rFonts w:ascii="Times New Roman" w:hAnsi="Times New Roman" w:cs="Times New Roman"/>
          <w:i/>
          <w:iCs/>
          <w:color w:val="000000" w:themeColor="text1"/>
        </w:rPr>
        <w:t xml:space="preserve">O. coloradensis </w:t>
      </w:r>
      <w:r w:rsidRPr="002D7E9D">
        <w:rPr>
          <w:rFonts w:ascii="Times New Roman" w:hAnsi="Times New Roman" w:cs="Times New Roman"/>
          <w:color w:val="000000" w:themeColor="text1"/>
        </w:rPr>
        <w:t xml:space="preserve">seedbank has not been studied directly, but a greenhouse seed viability and germination study showed that an average of 58% of seeds </w:t>
      </w:r>
      <w:r w:rsidRPr="002D7E9D">
        <w:rPr>
          <w:rFonts w:ascii="Times New Roman" w:hAnsi="Times New Roman" w:cs="Times New Roman"/>
          <w:color w:val="000000" w:themeColor="text1"/>
        </w:rPr>
        <w:lastRenderedPageBreak/>
        <w:t xml:space="preserve">produced by a parent plant are viable, and that a viable seed has a 20% mean probability of germinating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(Burgess et al. 2005)</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Neither seed viability nor germination rate changed meaningfully over the five years of the study. These results also showed that two-months of cold-moist stratification triggered germination. </w:t>
      </w:r>
      <w:r w:rsidRPr="002D7E9D">
        <w:rPr>
          <w:rFonts w:ascii="Times New Roman" w:hAnsi="Times New Roman" w:cs="Times New Roman"/>
          <w:color w:val="000000" w:themeColor="text1"/>
        </w:rPr>
        <w:tab/>
      </w:r>
    </w:p>
    <w:p w14:paraId="1D9BDBB7" w14:textId="77777777" w:rsidR="00450A49" w:rsidRPr="002D7E9D" w:rsidRDefault="00450A49" w:rsidP="00450A49">
      <w:pPr>
        <w:spacing w:line="480" w:lineRule="auto"/>
        <w:ind w:firstLine="360"/>
        <w:rPr>
          <w:rFonts w:ascii="Times New Roman" w:hAnsi="Times New Roman" w:cs="Times New Roman"/>
          <w:iCs/>
          <w:color w:val="000000" w:themeColor="text1"/>
        </w:rPr>
      </w:pPr>
      <w:r w:rsidRPr="002D7E9D">
        <w:rPr>
          <w:rFonts w:ascii="Times New Roman" w:hAnsi="Times New Roman" w:cs="Times New Roman"/>
          <w:color w:val="000000" w:themeColor="text1"/>
        </w:rPr>
        <w:t xml:space="preserve">This species primarily occurs in open, frequently disturbed habitats with sub-irrigated, alluvial soils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(Jennings 2000)</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Populations typically occur within the floodplain of ephemeral or perennial streams, but also exist in wet meadows, drainage bottoms, and spring-fed wetlands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{"citationItems":[{"id":"ITEM-1","itemData":{"ISBN":"0315880678","ISSN":"0091-6749","author":[{"dropping-particle":"","family":"Munk","given":"Linda M","non-dropping-particle":"","parse-names":false,"suffix":""}],"id":"ITEM-1","issued":{"date-parts":[["1999"]]},"publisher":"University of Wyoming","title":"Colorado butterfly plant (Gaura neomexicana spp. coloradensis) regeneration with removal of Canada thistle (Cirsium arvense) or native herbs","type":"thesis"},"uris":["http://www.mendeley.com/documents/?uuid=1f85558f-0240-426d-8644-3aaf2cdd6f2e"]}],"mendeley":{"formattedCitation":"(Munk 1999)","plainTextFormattedCitation":"(Munk 1999)","previouslyFormattedCitation":"(Munk 1999)"},"properties":{"noteIndex":0},"schema":"https://github.com/citation-style-language/schema/raw/master/csl-citation.json"}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(Munk 1999)</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O</w:t>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coloradensis</w:t>
      </w:r>
      <w:r w:rsidRPr="002D7E9D">
        <w:rPr>
          <w:rFonts w:ascii="Times New Roman" w:hAnsi="Times New Roman" w:cs="Times New Roman"/>
          <w:iCs/>
          <w:color w:val="000000" w:themeColor="text1"/>
        </w:rPr>
        <w:t xml:space="preserve"> commonly co-occurs with </w:t>
      </w:r>
      <w:r w:rsidRPr="002D7E9D">
        <w:rPr>
          <w:rFonts w:ascii="Calibri" w:hAnsi="Calibri" w:cs="Calibri"/>
          <w:iCs/>
          <w:color w:val="000000" w:themeColor="text1"/>
        </w:rPr>
        <w:t>﻿</w:t>
      </w:r>
      <w:r w:rsidRPr="002D7E9D">
        <w:rPr>
          <w:rFonts w:ascii="Times New Roman" w:hAnsi="Times New Roman" w:cs="Times New Roman"/>
          <w:i/>
          <w:color w:val="000000" w:themeColor="text1"/>
        </w:rPr>
        <w:t>Agrostis stolonifera</w:t>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Pascopyrum smithii</w:t>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Poa pratensis</w:t>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 xml:space="preserve">Glycyrrhiza </w:t>
      </w:r>
      <w:proofErr w:type="spellStart"/>
      <w:r w:rsidRPr="002D7E9D">
        <w:rPr>
          <w:rFonts w:ascii="Times New Roman" w:hAnsi="Times New Roman" w:cs="Times New Roman"/>
          <w:i/>
          <w:color w:val="000000" w:themeColor="text1"/>
        </w:rPr>
        <w:t>lepidota</w:t>
      </w:r>
      <w:proofErr w:type="spellEnd"/>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 xml:space="preserve">Iris </w:t>
      </w:r>
      <w:proofErr w:type="spellStart"/>
      <w:r w:rsidRPr="002D7E9D">
        <w:rPr>
          <w:rFonts w:ascii="Times New Roman" w:hAnsi="Times New Roman" w:cs="Times New Roman"/>
          <w:i/>
          <w:color w:val="000000" w:themeColor="text1"/>
        </w:rPr>
        <w:t>missouriensis</w:t>
      </w:r>
      <w:proofErr w:type="spellEnd"/>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 xml:space="preserve">Cirsium </w:t>
      </w:r>
      <w:proofErr w:type="spellStart"/>
      <w:r w:rsidRPr="002D7E9D">
        <w:rPr>
          <w:rFonts w:ascii="Times New Roman" w:hAnsi="Times New Roman" w:cs="Times New Roman"/>
          <w:i/>
          <w:color w:val="000000" w:themeColor="text1"/>
        </w:rPr>
        <w:t>flodmanii</w:t>
      </w:r>
      <w:proofErr w:type="spellEnd"/>
      <w:r w:rsidRPr="002D7E9D">
        <w:rPr>
          <w:rFonts w:ascii="Times New Roman" w:hAnsi="Times New Roman" w:cs="Times New Roman"/>
          <w:iCs/>
          <w:color w:val="000000" w:themeColor="text1"/>
        </w:rPr>
        <w:t xml:space="preserve">, and </w:t>
      </w:r>
      <w:r w:rsidRPr="002D7E9D">
        <w:rPr>
          <w:rFonts w:ascii="Times New Roman" w:hAnsi="Times New Roman" w:cs="Times New Roman"/>
          <w:i/>
          <w:color w:val="000000" w:themeColor="text1"/>
        </w:rPr>
        <w:t xml:space="preserve">Grindelia </w:t>
      </w:r>
      <w:proofErr w:type="spellStart"/>
      <w:r w:rsidRPr="002D7E9D">
        <w:rPr>
          <w:rFonts w:ascii="Times New Roman" w:hAnsi="Times New Roman" w:cs="Times New Roman"/>
          <w:i/>
          <w:color w:val="000000" w:themeColor="text1"/>
        </w:rPr>
        <w:t>squarrosa</w:t>
      </w:r>
      <w:proofErr w:type="spellEnd"/>
      <w:r w:rsidRPr="002D7E9D">
        <w:rPr>
          <w:rFonts w:ascii="Times New Roman" w:hAnsi="Times New Roman" w:cs="Times New Roman"/>
          <w:i/>
          <w:color w:val="000000" w:themeColor="text1"/>
        </w:rPr>
        <w:t xml:space="preserve"> </w:t>
      </w:r>
      <w:r w:rsidRPr="002D7E9D">
        <w:rPr>
          <w:rFonts w:ascii="Times New Roman" w:hAnsi="Times New Roman" w:cs="Times New Roman"/>
          <w:i/>
          <w:color w:val="000000" w:themeColor="text1"/>
        </w:rPr>
        <w:fldChar w:fldCharType="begin" w:fldLock="1"/>
      </w:r>
      <w:r w:rsidRPr="002D7E9D">
        <w:rPr>
          <w:rFonts w:ascii="Times New Roman" w:hAnsi="Times New Roman" w:cs="Times New Roman"/>
          <w:i/>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Ecology","id":"ITEM-2","issue":"1","issued":{"date-parts":[["2002"]]},"page":"122-128","title":"Rosette recruitment of a rare endemic forb (Gaura neomexicana subsp. coloradensis) with canopy removal of associated species","type":"article-journal","volume":"10"},"uris":["http://www.mendeley.com/documents/?uuid=53ef2059-5906-4ea1-abd4-f561e2d90f75"]}],"mendeley":{"formattedCitation":"(Jennings 2000, Munk et al. 2002)","plainTextFormattedCitation":"(Jennings 2000, Munk et al. 2002)","previouslyFormattedCitation":"(Jennings 2000, Munk et al. 2002)"},"properties":{"noteIndex":0},"schema":"https://github.com/citation-style-language/schema/raw/master/csl-citation.json"}</w:instrText>
      </w:r>
      <w:r w:rsidRPr="002D7E9D">
        <w:rPr>
          <w:rFonts w:ascii="Times New Roman" w:hAnsi="Times New Roman" w:cs="Times New Roman"/>
          <w:i/>
          <w:color w:val="000000" w:themeColor="text1"/>
        </w:rPr>
        <w:fldChar w:fldCharType="separate"/>
      </w:r>
      <w:r w:rsidRPr="002D7E9D">
        <w:rPr>
          <w:rFonts w:ascii="Times New Roman" w:hAnsi="Times New Roman" w:cs="Times New Roman"/>
          <w:noProof/>
          <w:color w:val="000000" w:themeColor="text1"/>
        </w:rPr>
        <w:t>(Jennings 2000, Munk et al. 2002)</w:t>
      </w:r>
      <w:r w:rsidRPr="002D7E9D">
        <w:rPr>
          <w:rFonts w:ascii="Times New Roman" w:hAnsi="Times New Roman" w:cs="Times New Roman"/>
          <w:i/>
          <w:color w:val="000000" w:themeColor="text1"/>
        </w:rPr>
        <w:fldChar w:fldCharType="end"/>
      </w:r>
      <w:r w:rsidRPr="002D7E9D">
        <w:rPr>
          <w:rFonts w:ascii="Times New Roman" w:hAnsi="Times New Roman" w:cs="Times New Roman"/>
          <w:iCs/>
          <w:color w:val="000000" w:themeColor="text1"/>
        </w:rPr>
        <w:t xml:space="preserve">. Encroachment of woody shrubs such as </w:t>
      </w:r>
      <w:r w:rsidRPr="002D7E9D">
        <w:rPr>
          <w:rFonts w:ascii="Times New Roman" w:hAnsi="Times New Roman" w:cs="Times New Roman"/>
          <w:i/>
          <w:color w:val="000000" w:themeColor="text1"/>
        </w:rPr>
        <w:t xml:space="preserve">Salix </w:t>
      </w:r>
      <w:proofErr w:type="spellStart"/>
      <w:r w:rsidRPr="002D7E9D">
        <w:rPr>
          <w:rFonts w:ascii="Times New Roman" w:hAnsi="Times New Roman" w:cs="Times New Roman"/>
          <w:i/>
          <w:color w:val="000000" w:themeColor="text1"/>
        </w:rPr>
        <w:t>exigua</w:t>
      </w:r>
      <w:proofErr w:type="spellEnd"/>
      <w:r w:rsidRPr="002D7E9D">
        <w:rPr>
          <w:rFonts w:ascii="Times New Roman" w:hAnsi="Times New Roman" w:cs="Times New Roman"/>
          <w:iCs/>
          <w:color w:val="000000" w:themeColor="text1"/>
        </w:rPr>
        <w:t xml:space="preserve"> has been correlated with declining numbers in some populations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(Heidel et al. 2021)</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Relatively frequent disturbance such as flooding that reduces growth of both woody and herbaceous species and removes litter is important for this species, especially for successful seedling recruitment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Nebraska","type":"article-journal","volume":"65"},"uris":["http://www.mendeley.com/documents/?uuid=821723a2-2c66-4c9e-a7dc-22fb21e906cf"]},{"id":"ITEM-2","itemData":{"author":[{"dropping-particle":"","family":"Burgess","given":"Leah M","non-dropping-particle":"","parse-names":false,"suffix":""}],"id":"ITEM-2","issued":{"date-parts":[["2003"]]},"publisher":"University of Wyoming","title":"Impacts of Mowing, Burning, and Climate on Germination and Seedling Recruitment of Colorado Butterfly Plant (Gaura neomexicana ssp. coloradensis)","type":"thesis"},"uris":["http://www.mendeley.com/documents/?uuid=41a34e8c-827f-441e-b4fd-1658118b3236"]}],"mendeley":{"formattedCitation":"(Jennings 2000, Burgess 2003)","plainTextFormattedCitation":"(Jennings 2000, Burgess 2003)","previouslyFormattedCitation":"(Jennings 2000, Burgess 2003)"},"properties":{"noteIndex":0},"schema":"https://github.com/citation-style-language/schema/raw/master/csl-citation.json"}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(Jennings 2000, Burgess 2003)</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w:t>
      </w:r>
    </w:p>
    <w:p w14:paraId="7F48C6A1" w14:textId="77777777" w:rsidR="00450A49" w:rsidRPr="002D7E9D" w:rsidRDefault="00450A49" w:rsidP="00450A49">
      <w:pPr>
        <w:spacing w:line="480" w:lineRule="auto"/>
        <w:ind w:firstLine="360"/>
        <w:rPr>
          <w:rFonts w:ascii="Times New Roman" w:hAnsi="Times New Roman" w:cs="Times New Roman"/>
          <w:color w:val="000000" w:themeColor="text1"/>
        </w:rPr>
      </w:pPr>
      <w:r w:rsidRPr="002D7E9D">
        <w:rPr>
          <w:rFonts w:ascii="Times New Roman" w:hAnsi="Times New Roman" w:cs="Times New Roman"/>
          <w:color w:val="000000" w:themeColor="text1"/>
        </w:rPr>
        <w:t xml:space="preserve">All historical and known extant </w:t>
      </w:r>
      <w:r w:rsidRPr="002D7E9D">
        <w:rPr>
          <w:rFonts w:ascii="Times New Roman" w:hAnsi="Times New Roman" w:cs="Times New Roman"/>
          <w:i/>
          <w:iCs/>
          <w:color w:val="000000" w:themeColor="text1"/>
        </w:rPr>
        <w:t xml:space="preserve">O. coloradensis </w:t>
      </w:r>
      <w:r w:rsidRPr="002D7E9D">
        <w:rPr>
          <w:rFonts w:ascii="Times New Roman" w:hAnsi="Times New Roman" w:cs="Times New Roman"/>
          <w:color w:val="000000" w:themeColor="text1"/>
        </w:rPr>
        <w:t xml:space="preserve">populations lie within a </w:t>
      </w:r>
      <w:r w:rsidRPr="002D7E9D">
        <w:rPr>
          <w:rFonts w:ascii="Calibri" w:hAnsi="Calibri" w:cs="Calibri"/>
          <w:color w:val="000000" w:themeColor="text1"/>
        </w:rPr>
        <w:t>﻿</w:t>
      </w:r>
      <w:r w:rsidRPr="002D7E9D">
        <w:rPr>
          <w:rFonts w:ascii="Times New Roman" w:hAnsi="Times New Roman" w:cs="Times New Roman"/>
          <w:color w:val="000000" w:themeColor="text1"/>
        </w:rPr>
        <w:t xml:space="preserve">7,000-hectare area that includes southeast Wyoming, northern Colorado, and a small part of southwest Nebraska. Range-wide survey efforts between 1984 and 1986 identified more than 20 populations. The largest population on Federal land occurs on the F. E. Warren Airforce Base near Cheyenne, WY. The Wyoming Natural Diversity Database (WYNDD) began a base-wide census of reproductive individuals in this population in 1986, and has repeated this census annually since 1988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(Heidel et al. 2021)</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The Soapstone Prairie Natural Area, a public property owned by the city of Fort Collins, CO, has the largest documented number of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individuals, but this population has not been routinely monitored. The first estimate of species size after its full </w:t>
      </w:r>
      <w:r w:rsidRPr="002D7E9D">
        <w:rPr>
          <w:rFonts w:ascii="Times New Roman" w:hAnsi="Times New Roman" w:cs="Times New Roman"/>
          <w:color w:val="000000" w:themeColor="text1"/>
        </w:rPr>
        <w:lastRenderedPageBreak/>
        <w:t xml:space="preserve">geographic range was identified occurred in 1998, when it was approximated that the entire species consisted of 47,300 to 50,300 reproductive individuals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(Jennings 2000)</w:t>
      </w:r>
      <w:r w:rsidRPr="002D7E9D">
        <w:rPr>
          <w:rFonts w:ascii="Times New Roman" w:hAnsi="Times New Roman" w:cs="Times New Roman"/>
          <w:iCs/>
          <w:color w:val="000000" w:themeColor="text1"/>
        </w:rPr>
        <w:fldChar w:fldCharType="end"/>
      </w:r>
      <w:r w:rsidRPr="002D7E9D">
        <w:rPr>
          <w:rFonts w:ascii="Times New Roman" w:hAnsi="Times New Roman" w:cs="Times New Roman"/>
          <w:color w:val="000000" w:themeColor="text1"/>
        </w:rPr>
        <w:t xml:space="preserve">. Although an older estimate of total species numbers or geographic range does not exist to serve as a reference, decline in a majority of the known populations between the mid-1980s and 2000 lead the U.S. Fish and Wildlife Service (USFWS) to designate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as a “threatened” species protected under the Endangered Species Act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(Jennings 2000)</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Although this species appears to be naturally rare, mangers were concerned that, without protection, </w:t>
      </w:r>
      <w:r w:rsidRPr="002D7E9D">
        <w:rPr>
          <w:rFonts w:ascii="Times New Roman" w:hAnsi="Times New Roman" w:cs="Times New Roman"/>
          <w:i/>
          <w:color w:val="000000" w:themeColor="text1"/>
        </w:rPr>
        <w:t>O. coloradensis</w:t>
      </w:r>
      <w:r w:rsidRPr="002D7E9D">
        <w:rPr>
          <w:rFonts w:ascii="Times New Roman" w:hAnsi="Times New Roman" w:cs="Times New Roman"/>
          <w:iCs/>
          <w:color w:val="000000" w:themeColor="text1"/>
        </w:rPr>
        <w:t xml:space="preserve"> had the potential for extinction because of habitat loss due to ranching, natural resource extraction, and shrub encroachment resulting from altered disturbance regimes.  </w:t>
      </w:r>
    </w:p>
    <w:p w14:paraId="25F915D0" w14:textId="77777777" w:rsidR="00450A49" w:rsidRPr="002D7E9D" w:rsidRDefault="00450A49" w:rsidP="00450A49">
      <w:pPr>
        <w:pStyle w:val="Heading3"/>
        <w:spacing w:line="480" w:lineRule="auto"/>
        <w:rPr>
          <w:rFonts w:ascii="Times New Roman" w:hAnsi="Times New Roman" w:cs="Times New Roman"/>
          <w:b w:val="0"/>
          <w:bCs w:val="0"/>
          <w:i/>
          <w:iCs/>
          <w:color w:val="000000" w:themeColor="text1"/>
        </w:rPr>
      </w:pPr>
      <w:bookmarkStart w:id="12" w:name="_Toc101229632"/>
      <w:bookmarkStart w:id="13" w:name="_Toc101544567"/>
      <w:r w:rsidRPr="002D7E9D">
        <w:rPr>
          <w:rFonts w:ascii="Times New Roman" w:hAnsi="Times New Roman" w:cs="Times New Roman"/>
          <w:b w:val="0"/>
          <w:bCs w:val="0"/>
          <w:i/>
          <w:iCs/>
          <w:color w:val="000000" w:themeColor="text1"/>
        </w:rPr>
        <w:t>Demographic Data Collection:</w:t>
      </w:r>
      <w:bookmarkEnd w:id="12"/>
      <w:bookmarkEnd w:id="13"/>
    </w:p>
    <w:p w14:paraId="5FC681D6" w14:textId="77777777" w:rsidR="00450A49" w:rsidRPr="002D7E9D" w:rsidRDefault="00450A49" w:rsidP="00450A49">
      <w:pPr>
        <w:spacing w:line="480" w:lineRule="auto"/>
        <w:ind w:firstLine="360"/>
        <w:rPr>
          <w:rFonts w:ascii="Times New Roman" w:hAnsi="Times New Roman" w:cs="Times New Roman"/>
          <w:i/>
          <w:iCs/>
          <w:color w:val="000000" w:themeColor="text1"/>
        </w:rPr>
      </w:pPr>
      <w:r w:rsidRPr="002D7E9D">
        <w:rPr>
          <w:rFonts w:ascii="Times New Roman" w:hAnsi="Times New Roman" w:cs="Times New Roman"/>
          <w:i/>
          <w:iCs/>
          <w:color w:val="000000" w:themeColor="text1"/>
        </w:rPr>
        <w:t xml:space="preserve"> </w:t>
      </w:r>
      <w:r w:rsidRPr="002D7E9D">
        <w:rPr>
          <w:rFonts w:ascii="Times New Roman" w:hAnsi="Times New Roman" w:cs="Times New Roman"/>
          <w:color w:val="000000" w:themeColor="text1"/>
        </w:rPr>
        <w:t xml:space="preserve">We conducted a three-year demographic study of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across six subpopulations, three at the F.E. Warren Airforce Base (FEWAFB) and three at the Soapstone Prairie Natural Area. In early summer 2018 we established three 2x2 m quadrats in each of these subpopulations, resulting in 18 plots (Table 1). We tagged and mapped every unique individual in each of these plots if their largest leaf was at least 3 cm. We recorded longest leaf length, reproductive status, flowering status, and seed production. In 2019 and 2020 censuses, we mapped and tagged new plants if their largest leaf was at least 3 cm, and re-measured all surviving plants from previous years. High densities of small plants (i.e.,</w:t>
      </w:r>
      <w:r w:rsidRPr="002D7E9D">
        <w:rPr>
          <w:rFonts w:ascii="Times New Roman" w:hAnsi="Times New Roman" w:cs="Times New Roman"/>
          <w:i/>
          <w:iCs/>
          <w:color w:val="000000" w:themeColor="text1"/>
        </w:rPr>
        <w:t xml:space="preserve"> </w:t>
      </w:r>
      <w:r w:rsidRPr="002D7E9D">
        <w:rPr>
          <w:rFonts w:ascii="Times New Roman" w:hAnsi="Times New Roman" w:cs="Times New Roman"/>
          <w:color w:val="000000" w:themeColor="text1"/>
        </w:rPr>
        <w:t xml:space="preserve">plants with largest leaf &lt; 3 cm) prevented our ability to map and tag all seedlings each year, so we tallied them in each plot in each year. We will refer to these plants smaller than 3 cm as “seedlings,” and plants larger than 3 cm as “non-seedling plants.” All censuses took place between late May and early July, during the peak of the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growing season.  </w:t>
      </w:r>
    </w:p>
    <w:p w14:paraId="5D6FCE33" w14:textId="77777777" w:rsidR="00450A49" w:rsidRPr="002D7E9D" w:rsidRDefault="00450A49" w:rsidP="00450A49">
      <w:pPr>
        <w:spacing w:line="480" w:lineRule="auto"/>
        <w:ind w:firstLine="720"/>
        <w:rPr>
          <w:rFonts w:ascii="Times New Roman" w:hAnsi="Times New Roman" w:cs="Times New Roman"/>
          <w:color w:val="000000" w:themeColor="text1"/>
        </w:rPr>
      </w:pPr>
      <w:r w:rsidRPr="002D7E9D">
        <w:rPr>
          <w:rFonts w:ascii="Times New Roman" w:hAnsi="Times New Roman" w:cs="Times New Roman"/>
          <w:color w:val="000000" w:themeColor="text1"/>
        </w:rPr>
        <w:lastRenderedPageBreak/>
        <w:t xml:space="preserve">It was not possible to measure seed production exactly because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seeds are contained in indehiscent capsules. Additionally, buds on the same plant flower and set seed with a time lag, such that mature seed capsules often exist at the tip of a stem while un-opened buds lower down on that same stem have not yet flowered. This makes it difficult to count the total number of capsules produced by a plant. However, seed capsules leave a noticeable scar on the stem, so we used the number of seed capsule scars on reproductive stems as an estimate of capsule production. Counting scars is extremely time-intensive since a single plant can produce several hundred capsules, so we used linear regression to estimate the relationship between the length of stem bearing capsule scars and the number of capsules produced by that stem. Linear regression using stem measurements and capsule counts from 106 individuals in 2018 indicates that number of capsules produced =  2.95 + 2.0*(stem length in cm) (multiple R-squared = 0.67, </w:t>
      </w:r>
      <w:r w:rsidRPr="002D7E9D">
        <w:rPr>
          <w:rFonts w:ascii="Times New Roman" w:hAnsi="Times New Roman" w:cs="Times New Roman"/>
          <w:i/>
          <w:iCs/>
          <w:color w:val="000000" w:themeColor="text1"/>
        </w:rPr>
        <w:t>P</w:t>
      </w:r>
      <w:r w:rsidRPr="002D7E9D">
        <w:rPr>
          <w:rFonts w:ascii="Times New Roman" w:hAnsi="Times New Roman" w:cs="Times New Roman"/>
          <w:color w:val="000000" w:themeColor="text1"/>
        </w:rPr>
        <w:t xml:space="preserve"> = &lt; 0.01, F-statistic = 212.5, </w:t>
      </w:r>
      <w:proofErr w:type="spellStart"/>
      <w:r w:rsidRPr="002D7E9D">
        <w:rPr>
          <w:rFonts w:ascii="Times New Roman" w:hAnsi="Times New Roman" w:cs="Times New Roman"/>
          <w:color w:val="000000" w:themeColor="text1"/>
        </w:rPr>
        <w:t>df</w:t>
      </w:r>
      <w:proofErr w:type="spellEnd"/>
      <w:r w:rsidRPr="002D7E9D">
        <w:rPr>
          <w:rFonts w:ascii="Times New Roman" w:hAnsi="Times New Roman" w:cs="Times New Roman"/>
          <w:color w:val="000000" w:themeColor="text1"/>
        </w:rPr>
        <w:t xml:space="preserve"> = 104) (Fig. S1). We used this relationship to estimate capsule production for each reproductive individual. Previous work indicated that each capsule contained an average of 1.7 seeds, so we multiplied the estimated number of capsules produced by an adult plant by 1.7 to estimate seed production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(Burgess et al. 2005)</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w:t>
      </w:r>
    </w:p>
    <w:p w14:paraId="2546641A" w14:textId="77777777" w:rsidR="00450A49" w:rsidRPr="002D7E9D" w:rsidRDefault="00450A49" w:rsidP="00450A49">
      <w:pPr>
        <w:spacing w:line="360" w:lineRule="auto"/>
        <w:rPr>
          <w:rFonts w:ascii="Times New Roman" w:hAnsi="Times New Roman" w:cs="Times New Roman"/>
          <w:color w:val="000000" w:themeColor="text1"/>
        </w:rPr>
      </w:pPr>
      <w:r w:rsidRPr="002D7E9D">
        <w:rPr>
          <w:rFonts w:ascii="Times New Roman" w:hAnsi="Times New Roman" w:cs="Times New Roman"/>
          <w:color w:val="000000" w:themeColor="text1"/>
        </w:rPr>
        <w:t>Table 1: Permanent Plot Locations.  GPS coordinates listed in decimal degrees, map datum and spheroid: WGS 84.</w:t>
      </w:r>
    </w:p>
    <w:tbl>
      <w:tblPr>
        <w:tblStyle w:val="TableGrid"/>
        <w:tblW w:w="0" w:type="auto"/>
        <w:tblLook w:val="04A0" w:firstRow="1" w:lastRow="0" w:firstColumn="1" w:lastColumn="0" w:noHBand="0" w:noVBand="1"/>
      </w:tblPr>
      <w:tblGrid>
        <w:gridCol w:w="1255"/>
        <w:gridCol w:w="2643"/>
        <w:gridCol w:w="1317"/>
        <w:gridCol w:w="1530"/>
        <w:gridCol w:w="1620"/>
      </w:tblGrid>
      <w:tr w:rsidR="00450A49" w:rsidRPr="002D7E9D" w14:paraId="281945DD" w14:textId="77777777" w:rsidTr="00D74BE2">
        <w:tc>
          <w:tcPr>
            <w:tcW w:w="1255" w:type="dxa"/>
          </w:tcPr>
          <w:p w14:paraId="187B10AA"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Site</w:t>
            </w:r>
          </w:p>
        </w:tc>
        <w:tc>
          <w:tcPr>
            <w:tcW w:w="2643" w:type="dxa"/>
          </w:tcPr>
          <w:p w14:paraId="443B0DB8"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Subpopulation</w:t>
            </w:r>
          </w:p>
        </w:tc>
        <w:tc>
          <w:tcPr>
            <w:tcW w:w="1317" w:type="dxa"/>
          </w:tcPr>
          <w:p w14:paraId="288A1C05"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Plot Name</w:t>
            </w:r>
          </w:p>
        </w:tc>
        <w:tc>
          <w:tcPr>
            <w:tcW w:w="1530" w:type="dxa"/>
          </w:tcPr>
          <w:p w14:paraId="5561ACEE"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N Coordinate</w:t>
            </w:r>
          </w:p>
        </w:tc>
        <w:tc>
          <w:tcPr>
            <w:tcW w:w="1620" w:type="dxa"/>
          </w:tcPr>
          <w:p w14:paraId="1F33FA62"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W Coordinate</w:t>
            </w:r>
          </w:p>
        </w:tc>
      </w:tr>
      <w:tr w:rsidR="00450A49" w:rsidRPr="002D7E9D" w14:paraId="4A41EA00" w14:textId="77777777" w:rsidTr="00D74BE2">
        <w:tc>
          <w:tcPr>
            <w:tcW w:w="1255" w:type="dxa"/>
          </w:tcPr>
          <w:p w14:paraId="6C99F4F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6957A51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Unnamed Creek</w:t>
            </w:r>
          </w:p>
        </w:tc>
        <w:tc>
          <w:tcPr>
            <w:tcW w:w="1317" w:type="dxa"/>
          </w:tcPr>
          <w:p w14:paraId="6265127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U3</w:t>
            </w:r>
          </w:p>
        </w:tc>
        <w:tc>
          <w:tcPr>
            <w:tcW w:w="1530" w:type="dxa"/>
          </w:tcPr>
          <w:p w14:paraId="5A83028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41.13642</w:t>
            </w:r>
          </w:p>
        </w:tc>
        <w:tc>
          <w:tcPr>
            <w:tcW w:w="1620" w:type="dxa"/>
          </w:tcPr>
          <w:p w14:paraId="6F05BD7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-104.87209</w:t>
            </w:r>
          </w:p>
        </w:tc>
      </w:tr>
      <w:tr w:rsidR="00450A49" w:rsidRPr="002D7E9D" w14:paraId="37F024EB" w14:textId="77777777" w:rsidTr="00D74BE2">
        <w:tc>
          <w:tcPr>
            <w:tcW w:w="1255" w:type="dxa"/>
          </w:tcPr>
          <w:p w14:paraId="5DBADA5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FEWAFB</w:t>
            </w:r>
          </w:p>
        </w:tc>
        <w:tc>
          <w:tcPr>
            <w:tcW w:w="2643" w:type="dxa"/>
          </w:tcPr>
          <w:p w14:paraId="64571B5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Unnamed Creek</w:t>
            </w:r>
          </w:p>
        </w:tc>
        <w:tc>
          <w:tcPr>
            <w:tcW w:w="1317" w:type="dxa"/>
          </w:tcPr>
          <w:p w14:paraId="7CC19DD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U4 </w:t>
            </w:r>
          </w:p>
        </w:tc>
        <w:tc>
          <w:tcPr>
            <w:tcW w:w="1530" w:type="dxa"/>
          </w:tcPr>
          <w:p w14:paraId="2AD23AB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41.13634</w:t>
            </w:r>
          </w:p>
        </w:tc>
        <w:tc>
          <w:tcPr>
            <w:tcW w:w="1620" w:type="dxa"/>
          </w:tcPr>
          <w:p w14:paraId="5E2476D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-104.87183</w:t>
            </w:r>
          </w:p>
        </w:tc>
      </w:tr>
      <w:tr w:rsidR="00450A49" w:rsidRPr="002D7E9D" w14:paraId="003EC415" w14:textId="77777777" w:rsidTr="00D74BE2">
        <w:tc>
          <w:tcPr>
            <w:tcW w:w="1255" w:type="dxa"/>
          </w:tcPr>
          <w:p w14:paraId="12C52D2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FEWAFB</w:t>
            </w:r>
          </w:p>
        </w:tc>
        <w:tc>
          <w:tcPr>
            <w:tcW w:w="2643" w:type="dxa"/>
          </w:tcPr>
          <w:p w14:paraId="31620C9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Unnamed Creek</w:t>
            </w:r>
          </w:p>
        </w:tc>
        <w:tc>
          <w:tcPr>
            <w:tcW w:w="1317" w:type="dxa"/>
          </w:tcPr>
          <w:p w14:paraId="19897AA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U6 </w:t>
            </w:r>
          </w:p>
        </w:tc>
        <w:tc>
          <w:tcPr>
            <w:tcW w:w="1530" w:type="dxa"/>
          </w:tcPr>
          <w:p w14:paraId="4A345B26"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41.13647</w:t>
            </w:r>
          </w:p>
        </w:tc>
        <w:tc>
          <w:tcPr>
            <w:tcW w:w="1620" w:type="dxa"/>
          </w:tcPr>
          <w:p w14:paraId="559996E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-104.87132</w:t>
            </w:r>
          </w:p>
        </w:tc>
      </w:tr>
      <w:tr w:rsidR="00450A49" w:rsidRPr="002D7E9D" w14:paraId="54DD6F88" w14:textId="77777777" w:rsidTr="00D74BE2">
        <w:tc>
          <w:tcPr>
            <w:tcW w:w="1255" w:type="dxa"/>
          </w:tcPr>
          <w:p w14:paraId="02F51AE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10157EB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Diamond Creek</w:t>
            </w:r>
          </w:p>
        </w:tc>
        <w:tc>
          <w:tcPr>
            <w:tcW w:w="1317" w:type="dxa"/>
          </w:tcPr>
          <w:p w14:paraId="23A9F05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D7 </w:t>
            </w:r>
          </w:p>
        </w:tc>
        <w:tc>
          <w:tcPr>
            <w:tcW w:w="1530" w:type="dxa"/>
          </w:tcPr>
          <w:p w14:paraId="4975AEA1"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41.14340</w:t>
            </w:r>
          </w:p>
        </w:tc>
        <w:tc>
          <w:tcPr>
            <w:tcW w:w="1620" w:type="dxa"/>
          </w:tcPr>
          <w:p w14:paraId="42B92C1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-104.88380</w:t>
            </w:r>
          </w:p>
        </w:tc>
      </w:tr>
      <w:tr w:rsidR="00450A49" w:rsidRPr="002D7E9D" w14:paraId="039FC639" w14:textId="77777777" w:rsidTr="00D74BE2">
        <w:tc>
          <w:tcPr>
            <w:tcW w:w="1255" w:type="dxa"/>
          </w:tcPr>
          <w:p w14:paraId="4E0C93F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53944EB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Diamond Creek</w:t>
            </w:r>
          </w:p>
        </w:tc>
        <w:tc>
          <w:tcPr>
            <w:tcW w:w="1317" w:type="dxa"/>
          </w:tcPr>
          <w:p w14:paraId="7B9D2F0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D10</w:t>
            </w:r>
          </w:p>
        </w:tc>
        <w:tc>
          <w:tcPr>
            <w:tcW w:w="1530" w:type="dxa"/>
          </w:tcPr>
          <w:p w14:paraId="58220A3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41.14441</w:t>
            </w:r>
          </w:p>
        </w:tc>
        <w:tc>
          <w:tcPr>
            <w:tcW w:w="1620" w:type="dxa"/>
          </w:tcPr>
          <w:p w14:paraId="2CEFB92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-104.88303</w:t>
            </w:r>
          </w:p>
        </w:tc>
      </w:tr>
      <w:tr w:rsidR="00450A49" w:rsidRPr="002D7E9D" w14:paraId="00910350" w14:textId="77777777" w:rsidTr="00D74BE2">
        <w:tc>
          <w:tcPr>
            <w:tcW w:w="1255" w:type="dxa"/>
          </w:tcPr>
          <w:p w14:paraId="23842824"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20049FB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Diamond Creek</w:t>
            </w:r>
          </w:p>
        </w:tc>
        <w:tc>
          <w:tcPr>
            <w:tcW w:w="1317" w:type="dxa"/>
          </w:tcPr>
          <w:p w14:paraId="6C709AA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D11</w:t>
            </w:r>
          </w:p>
        </w:tc>
        <w:tc>
          <w:tcPr>
            <w:tcW w:w="1530" w:type="dxa"/>
          </w:tcPr>
          <w:p w14:paraId="36EAE592"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41.14431</w:t>
            </w:r>
          </w:p>
        </w:tc>
        <w:tc>
          <w:tcPr>
            <w:tcW w:w="1620" w:type="dxa"/>
          </w:tcPr>
          <w:p w14:paraId="6C75DC4A"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-104.88094</w:t>
            </w:r>
          </w:p>
        </w:tc>
      </w:tr>
      <w:tr w:rsidR="00450A49" w:rsidRPr="002D7E9D" w14:paraId="2992EAB2" w14:textId="77777777" w:rsidTr="00D74BE2">
        <w:tc>
          <w:tcPr>
            <w:tcW w:w="1255" w:type="dxa"/>
          </w:tcPr>
          <w:p w14:paraId="5638D46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5D3A348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Crow Creek</w:t>
            </w:r>
          </w:p>
        </w:tc>
        <w:tc>
          <w:tcPr>
            <w:tcW w:w="1317" w:type="dxa"/>
          </w:tcPr>
          <w:p w14:paraId="1CFF4AE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C4</w:t>
            </w:r>
          </w:p>
        </w:tc>
        <w:tc>
          <w:tcPr>
            <w:tcW w:w="1530" w:type="dxa"/>
          </w:tcPr>
          <w:p w14:paraId="08E8A06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41.15540</w:t>
            </w:r>
          </w:p>
        </w:tc>
        <w:tc>
          <w:tcPr>
            <w:tcW w:w="1620" w:type="dxa"/>
          </w:tcPr>
          <w:p w14:paraId="5F5DB919"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-104.87497</w:t>
            </w:r>
          </w:p>
        </w:tc>
      </w:tr>
      <w:tr w:rsidR="00450A49" w:rsidRPr="002D7E9D" w14:paraId="2D351F9B" w14:textId="77777777" w:rsidTr="00D74BE2">
        <w:tc>
          <w:tcPr>
            <w:tcW w:w="1255" w:type="dxa"/>
          </w:tcPr>
          <w:p w14:paraId="044276C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04D24D3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Crow Creek</w:t>
            </w:r>
          </w:p>
        </w:tc>
        <w:tc>
          <w:tcPr>
            <w:tcW w:w="1317" w:type="dxa"/>
          </w:tcPr>
          <w:p w14:paraId="12E7EF1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C5</w:t>
            </w:r>
          </w:p>
        </w:tc>
        <w:tc>
          <w:tcPr>
            <w:tcW w:w="1530" w:type="dxa"/>
          </w:tcPr>
          <w:p w14:paraId="66CB6E1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41.15477</w:t>
            </w:r>
          </w:p>
        </w:tc>
        <w:tc>
          <w:tcPr>
            <w:tcW w:w="1620" w:type="dxa"/>
          </w:tcPr>
          <w:p w14:paraId="254A449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-104.87474</w:t>
            </w:r>
          </w:p>
        </w:tc>
      </w:tr>
      <w:tr w:rsidR="00450A49" w:rsidRPr="002D7E9D" w14:paraId="3B4488CE" w14:textId="77777777" w:rsidTr="00D74BE2">
        <w:tc>
          <w:tcPr>
            <w:tcW w:w="1255" w:type="dxa"/>
          </w:tcPr>
          <w:p w14:paraId="6A0A483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2782183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Crow Creek</w:t>
            </w:r>
          </w:p>
        </w:tc>
        <w:tc>
          <w:tcPr>
            <w:tcW w:w="1317" w:type="dxa"/>
          </w:tcPr>
          <w:p w14:paraId="44E7B77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C8</w:t>
            </w:r>
          </w:p>
        </w:tc>
        <w:tc>
          <w:tcPr>
            <w:tcW w:w="1530" w:type="dxa"/>
          </w:tcPr>
          <w:p w14:paraId="087646F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41.15534</w:t>
            </w:r>
          </w:p>
        </w:tc>
        <w:tc>
          <w:tcPr>
            <w:tcW w:w="1620" w:type="dxa"/>
          </w:tcPr>
          <w:p w14:paraId="3C8E544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-104.87487</w:t>
            </w:r>
          </w:p>
        </w:tc>
      </w:tr>
      <w:tr w:rsidR="00450A49" w:rsidRPr="002D7E9D" w14:paraId="7E2EE7B4" w14:textId="77777777" w:rsidTr="00D74BE2">
        <w:tc>
          <w:tcPr>
            <w:tcW w:w="1255" w:type="dxa"/>
          </w:tcPr>
          <w:p w14:paraId="4F410C3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Soapstone</w:t>
            </w:r>
          </w:p>
        </w:tc>
        <w:tc>
          <w:tcPr>
            <w:tcW w:w="2643" w:type="dxa"/>
          </w:tcPr>
          <w:p w14:paraId="0D7EA1D4"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HQ5</w:t>
            </w:r>
          </w:p>
        </w:tc>
        <w:tc>
          <w:tcPr>
            <w:tcW w:w="1317" w:type="dxa"/>
          </w:tcPr>
          <w:p w14:paraId="4E13018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S1</w:t>
            </w:r>
          </w:p>
        </w:tc>
        <w:tc>
          <w:tcPr>
            <w:tcW w:w="1530" w:type="dxa"/>
          </w:tcPr>
          <w:p w14:paraId="4A2F7FA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40.99297</w:t>
            </w:r>
          </w:p>
        </w:tc>
        <w:tc>
          <w:tcPr>
            <w:tcW w:w="1620" w:type="dxa"/>
          </w:tcPr>
          <w:p w14:paraId="1B3FEB34"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-105.00925</w:t>
            </w:r>
          </w:p>
        </w:tc>
      </w:tr>
      <w:tr w:rsidR="00450A49" w:rsidRPr="002D7E9D" w14:paraId="31D56F86" w14:textId="77777777" w:rsidTr="00D74BE2">
        <w:tc>
          <w:tcPr>
            <w:tcW w:w="1255" w:type="dxa"/>
          </w:tcPr>
          <w:p w14:paraId="687BDEF9"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7325D696"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HQ5</w:t>
            </w:r>
          </w:p>
        </w:tc>
        <w:tc>
          <w:tcPr>
            <w:tcW w:w="1317" w:type="dxa"/>
          </w:tcPr>
          <w:p w14:paraId="0DA63A6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S2</w:t>
            </w:r>
          </w:p>
        </w:tc>
        <w:tc>
          <w:tcPr>
            <w:tcW w:w="1530" w:type="dxa"/>
          </w:tcPr>
          <w:p w14:paraId="3D1BF38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40.99318</w:t>
            </w:r>
          </w:p>
        </w:tc>
        <w:tc>
          <w:tcPr>
            <w:tcW w:w="1620" w:type="dxa"/>
          </w:tcPr>
          <w:p w14:paraId="7459BDD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-105.00935</w:t>
            </w:r>
          </w:p>
        </w:tc>
      </w:tr>
      <w:tr w:rsidR="00450A49" w:rsidRPr="002D7E9D" w14:paraId="52F72107" w14:textId="77777777" w:rsidTr="00D74BE2">
        <w:tc>
          <w:tcPr>
            <w:tcW w:w="1255" w:type="dxa"/>
          </w:tcPr>
          <w:p w14:paraId="64242FF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5B51BB4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HQ5</w:t>
            </w:r>
          </w:p>
        </w:tc>
        <w:tc>
          <w:tcPr>
            <w:tcW w:w="1317" w:type="dxa"/>
          </w:tcPr>
          <w:p w14:paraId="698964E2"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S3</w:t>
            </w:r>
          </w:p>
        </w:tc>
        <w:tc>
          <w:tcPr>
            <w:tcW w:w="1530" w:type="dxa"/>
          </w:tcPr>
          <w:p w14:paraId="56F01BC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40.99342</w:t>
            </w:r>
          </w:p>
        </w:tc>
        <w:tc>
          <w:tcPr>
            <w:tcW w:w="1620" w:type="dxa"/>
          </w:tcPr>
          <w:p w14:paraId="546572E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-105.00937</w:t>
            </w:r>
          </w:p>
        </w:tc>
      </w:tr>
      <w:tr w:rsidR="00450A49" w:rsidRPr="002D7E9D" w14:paraId="1608A6BE" w14:textId="77777777" w:rsidTr="00D74BE2">
        <w:tc>
          <w:tcPr>
            <w:tcW w:w="1255" w:type="dxa"/>
          </w:tcPr>
          <w:p w14:paraId="6DBADA1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344D885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HQ3</w:t>
            </w:r>
          </w:p>
        </w:tc>
        <w:tc>
          <w:tcPr>
            <w:tcW w:w="1317" w:type="dxa"/>
          </w:tcPr>
          <w:p w14:paraId="1D73248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S4</w:t>
            </w:r>
          </w:p>
        </w:tc>
        <w:tc>
          <w:tcPr>
            <w:tcW w:w="1530" w:type="dxa"/>
          </w:tcPr>
          <w:p w14:paraId="654D231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40.98623</w:t>
            </w:r>
          </w:p>
        </w:tc>
        <w:tc>
          <w:tcPr>
            <w:tcW w:w="1620" w:type="dxa"/>
          </w:tcPr>
          <w:p w14:paraId="5B48E1B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-105.01691</w:t>
            </w:r>
          </w:p>
        </w:tc>
      </w:tr>
      <w:tr w:rsidR="00450A49" w:rsidRPr="002D7E9D" w14:paraId="7EB10C1F" w14:textId="77777777" w:rsidTr="00D74BE2">
        <w:tc>
          <w:tcPr>
            <w:tcW w:w="1255" w:type="dxa"/>
          </w:tcPr>
          <w:p w14:paraId="64F17866"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lastRenderedPageBreak/>
              <w:t xml:space="preserve">Soapstone </w:t>
            </w:r>
          </w:p>
        </w:tc>
        <w:tc>
          <w:tcPr>
            <w:tcW w:w="2643" w:type="dxa"/>
          </w:tcPr>
          <w:p w14:paraId="1EA4D5C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HQ3</w:t>
            </w:r>
          </w:p>
        </w:tc>
        <w:tc>
          <w:tcPr>
            <w:tcW w:w="1317" w:type="dxa"/>
          </w:tcPr>
          <w:p w14:paraId="34AAA67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S5</w:t>
            </w:r>
          </w:p>
        </w:tc>
        <w:tc>
          <w:tcPr>
            <w:tcW w:w="1530" w:type="dxa"/>
          </w:tcPr>
          <w:p w14:paraId="11BFDA6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40.98639</w:t>
            </w:r>
          </w:p>
        </w:tc>
        <w:tc>
          <w:tcPr>
            <w:tcW w:w="1620" w:type="dxa"/>
          </w:tcPr>
          <w:p w14:paraId="082B42D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-105.01671</w:t>
            </w:r>
          </w:p>
        </w:tc>
      </w:tr>
      <w:tr w:rsidR="00450A49" w:rsidRPr="002D7E9D" w14:paraId="7635FA7C" w14:textId="77777777" w:rsidTr="00D74BE2">
        <w:tc>
          <w:tcPr>
            <w:tcW w:w="1255" w:type="dxa"/>
          </w:tcPr>
          <w:p w14:paraId="692AFA6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30D5D02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HQ3</w:t>
            </w:r>
          </w:p>
        </w:tc>
        <w:tc>
          <w:tcPr>
            <w:tcW w:w="1317" w:type="dxa"/>
          </w:tcPr>
          <w:p w14:paraId="159E8C7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S6</w:t>
            </w:r>
          </w:p>
        </w:tc>
        <w:tc>
          <w:tcPr>
            <w:tcW w:w="1530" w:type="dxa"/>
          </w:tcPr>
          <w:p w14:paraId="7E7F31C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40.98650</w:t>
            </w:r>
          </w:p>
        </w:tc>
        <w:tc>
          <w:tcPr>
            <w:tcW w:w="1620" w:type="dxa"/>
          </w:tcPr>
          <w:p w14:paraId="70A49D5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-105.01656</w:t>
            </w:r>
          </w:p>
        </w:tc>
      </w:tr>
      <w:tr w:rsidR="00450A49" w:rsidRPr="002D7E9D" w14:paraId="757D0650" w14:textId="77777777" w:rsidTr="00D74BE2">
        <w:tc>
          <w:tcPr>
            <w:tcW w:w="1255" w:type="dxa"/>
          </w:tcPr>
          <w:p w14:paraId="0FD7511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524DFA4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Meadow</w:t>
            </w:r>
          </w:p>
        </w:tc>
        <w:tc>
          <w:tcPr>
            <w:tcW w:w="1317" w:type="dxa"/>
          </w:tcPr>
          <w:p w14:paraId="14874E5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S7</w:t>
            </w:r>
          </w:p>
        </w:tc>
        <w:tc>
          <w:tcPr>
            <w:tcW w:w="1530" w:type="dxa"/>
          </w:tcPr>
          <w:p w14:paraId="25D5EDB9"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40.98753</w:t>
            </w:r>
          </w:p>
        </w:tc>
        <w:tc>
          <w:tcPr>
            <w:tcW w:w="1620" w:type="dxa"/>
          </w:tcPr>
          <w:p w14:paraId="1B0DA4E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-105.02148</w:t>
            </w:r>
          </w:p>
        </w:tc>
      </w:tr>
      <w:tr w:rsidR="00450A49" w:rsidRPr="002D7E9D" w14:paraId="6E97816E" w14:textId="77777777" w:rsidTr="00D74BE2">
        <w:tc>
          <w:tcPr>
            <w:tcW w:w="1255" w:type="dxa"/>
          </w:tcPr>
          <w:p w14:paraId="586832A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306D34B9"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Meadow</w:t>
            </w:r>
          </w:p>
        </w:tc>
        <w:tc>
          <w:tcPr>
            <w:tcW w:w="1317" w:type="dxa"/>
          </w:tcPr>
          <w:p w14:paraId="688C6C2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S8</w:t>
            </w:r>
          </w:p>
        </w:tc>
        <w:tc>
          <w:tcPr>
            <w:tcW w:w="1530" w:type="dxa"/>
          </w:tcPr>
          <w:p w14:paraId="6E1F0BC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40.98747</w:t>
            </w:r>
          </w:p>
        </w:tc>
        <w:tc>
          <w:tcPr>
            <w:tcW w:w="1620" w:type="dxa"/>
          </w:tcPr>
          <w:p w14:paraId="3813E726"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-105.02179</w:t>
            </w:r>
          </w:p>
        </w:tc>
      </w:tr>
      <w:tr w:rsidR="00450A49" w:rsidRPr="002D7E9D" w14:paraId="71AA7356" w14:textId="77777777" w:rsidTr="00D74BE2">
        <w:tc>
          <w:tcPr>
            <w:tcW w:w="1255" w:type="dxa"/>
          </w:tcPr>
          <w:p w14:paraId="454D56F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430F15D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Meadow</w:t>
            </w:r>
          </w:p>
        </w:tc>
        <w:tc>
          <w:tcPr>
            <w:tcW w:w="1317" w:type="dxa"/>
          </w:tcPr>
          <w:p w14:paraId="34C551C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S9</w:t>
            </w:r>
          </w:p>
        </w:tc>
        <w:tc>
          <w:tcPr>
            <w:tcW w:w="1530" w:type="dxa"/>
          </w:tcPr>
          <w:p w14:paraId="10DE875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40.98724</w:t>
            </w:r>
          </w:p>
        </w:tc>
        <w:tc>
          <w:tcPr>
            <w:tcW w:w="1620" w:type="dxa"/>
          </w:tcPr>
          <w:p w14:paraId="43FA3AB1"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-105.02145</w:t>
            </w:r>
          </w:p>
        </w:tc>
      </w:tr>
    </w:tbl>
    <w:p w14:paraId="69BD0F69" w14:textId="77777777" w:rsidR="006C6F28" w:rsidRDefault="006C6F28" w:rsidP="00450A49">
      <w:pPr>
        <w:shd w:val="clear" w:color="auto" w:fill="FFFFFF"/>
        <w:spacing w:line="480" w:lineRule="auto"/>
        <w:ind w:firstLine="720"/>
        <w:textAlignment w:val="baseline"/>
        <w:rPr>
          <w:rFonts w:ascii="Times New Roman" w:eastAsia="Times New Roman" w:hAnsi="Times New Roman" w:cs="Times New Roman"/>
          <w:i/>
          <w:iCs/>
          <w:color w:val="000000" w:themeColor="text1"/>
        </w:rPr>
      </w:pPr>
    </w:p>
    <w:p w14:paraId="2C2F5D8B" w14:textId="4125FF39" w:rsidR="00450A49" w:rsidRPr="002D7E9D" w:rsidRDefault="006C6F28" w:rsidP="00450A49">
      <w:pPr>
        <w:shd w:val="clear" w:color="auto" w:fill="FFFFFF"/>
        <w:spacing w:line="480" w:lineRule="auto"/>
        <w:ind w:firstLine="720"/>
        <w:textAlignment w:val="baseline"/>
        <w:rPr>
          <w:rFonts w:ascii="Times New Roman" w:hAnsi="Times New Roman" w:cs="Times New Roman"/>
          <w:color w:val="000000" w:themeColor="text1"/>
        </w:rPr>
      </w:pPr>
      <w:commentRangeStart w:id="14"/>
      <w:commentRangeStart w:id="15"/>
      <w:r w:rsidRPr="00A018BD">
        <w:rPr>
          <w:rFonts w:ascii="Times New Roman" w:eastAsia="Times New Roman" w:hAnsi="Times New Roman" w:cs="Times New Roman"/>
          <w:i/>
          <w:iCs/>
          <w:color w:val="000000" w:themeColor="text1"/>
        </w:rPr>
        <w:t>Environmental Measurements</w:t>
      </w:r>
      <w:r w:rsidRPr="00A018BD">
        <w:rPr>
          <w:rFonts w:ascii="Times New Roman" w:eastAsia="Times New Roman" w:hAnsi="Times New Roman" w:cs="Times New Roman"/>
          <w:color w:val="000000" w:themeColor="text1"/>
        </w:rPr>
        <w:t xml:space="preserve">: </w:t>
      </w:r>
      <w:commentRangeEnd w:id="14"/>
      <w:r>
        <w:rPr>
          <w:rStyle w:val="CommentReference"/>
        </w:rPr>
        <w:commentReference w:id="14"/>
      </w:r>
      <w:commentRangeEnd w:id="15"/>
      <w:r>
        <w:rPr>
          <w:rStyle w:val="CommentReference"/>
        </w:rPr>
        <w:commentReference w:id="15"/>
      </w:r>
      <w:r w:rsidR="00450A49" w:rsidRPr="002D7E9D">
        <w:rPr>
          <w:rFonts w:ascii="Times New Roman" w:hAnsi="Times New Roman" w:cs="Times New Roman"/>
          <w:color w:val="000000" w:themeColor="text1"/>
        </w:rPr>
        <w:t xml:space="preserve">To determine the effect of temporal variation in climate on </w:t>
      </w:r>
      <w:r w:rsidR="00450A49" w:rsidRPr="002D7E9D">
        <w:rPr>
          <w:rFonts w:ascii="Times New Roman" w:hAnsi="Times New Roman" w:cs="Times New Roman"/>
          <w:i/>
          <w:iCs/>
          <w:color w:val="000000" w:themeColor="text1"/>
        </w:rPr>
        <w:t>O. coloradensis</w:t>
      </w:r>
      <w:r w:rsidR="00450A49" w:rsidRPr="002D7E9D">
        <w:rPr>
          <w:rFonts w:ascii="Times New Roman" w:hAnsi="Times New Roman" w:cs="Times New Roman"/>
          <w:color w:val="000000" w:themeColor="text1"/>
        </w:rPr>
        <w:t xml:space="preserve"> populations, we used modeled, site-level temperature and precipitation data from PRISM (PRISM Climate Group, Oregon State University, https://prism.oregonstate.edu, accessed 30 November 2021). We calculated the mean temperature of both the growing season and preceding winter season for each year of demographic data collection at FEWAFB and Soapstone Prairie. We also calculated total precipitation for each water-year, which we defined as the period from October of the previous year to September of the current year. These variables are referred to as “environmental covariates.”</w:t>
      </w:r>
    </w:p>
    <w:p w14:paraId="3024594A" w14:textId="77777777" w:rsidR="00450A49" w:rsidRPr="002D7E9D" w:rsidRDefault="00450A49" w:rsidP="00450A49">
      <w:pPr>
        <w:pStyle w:val="Heading3"/>
        <w:rPr>
          <w:b w:val="0"/>
          <w:bCs w:val="0"/>
          <w:i/>
          <w:iCs/>
          <w:color w:val="000000" w:themeColor="text1"/>
        </w:rPr>
      </w:pPr>
      <w:bookmarkStart w:id="16" w:name="_Toc101229634"/>
      <w:bookmarkStart w:id="17" w:name="_Toc101544569"/>
      <w:r w:rsidRPr="002D7E9D">
        <w:rPr>
          <w:rFonts w:ascii="Times New Roman" w:hAnsi="Times New Roman" w:cs="Times New Roman"/>
          <w:b w:val="0"/>
          <w:bCs w:val="0"/>
          <w:i/>
          <w:iCs/>
          <w:color w:val="000000" w:themeColor="text1"/>
        </w:rPr>
        <w:t>Objective 1: Quantifying the importance of the seedbank stage</w:t>
      </w:r>
      <w:bookmarkEnd w:id="16"/>
      <w:bookmarkEnd w:id="17"/>
    </w:p>
    <w:p w14:paraId="7D8243C5" w14:textId="77777777" w:rsidR="00450A49" w:rsidRPr="002D7E9D" w:rsidRDefault="00450A49" w:rsidP="00450A49">
      <w:pPr>
        <w:pStyle w:val="NormalWeb"/>
        <w:spacing w:line="480" w:lineRule="auto"/>
        <w:outlineLvl w:val="3"/>
        <w:rPr>
          <w:color w:val="000000" w:themeColor="text1"/>
        </w:rPr>
      </w:pPr>
      <w:r w:rsidRPr="002D7E9D">
        <w:rPr>
          <w:i/>
          <w:iCs/>
          <w:color w:val="000000" w:themeColor="text1"/>
        </w:rPr>
        <w:t>Population Models:</w:t>
      </w:r>
      <w:r w:rsidRPr="002D7E9D">
        <w:rPr>
          <w:color w:val="000000" w:themeColor="text1"/>
        </w:rPr>
        <w:t xml:space="preserve"> </w:t>
      </w:r>
    </w:p>
    <w:p w14:paraId="096EDF3F" w14:textId="4970036D" w:rsidR="00450A49" w:rsidRPr="002D7E9D" w:rsidRDefault="00450A49" w:rsidP="00450A49">
      <w:pPr>
        <w:pStyle w:val="NormalWeb"/>
        <w:spacing w:line="480" w:lineRule="auto"/>
        <w:ind w:firstLine="720"/>
        <w:rPr>
          <w:color w:val="000000" w:themeColor="text1"/>
        </w:rPr>
      </w:pPr>
      <w:r w:rsidRPr="002D7E9D">
        <w:rPr>
          <w:color w:val="000000" w:themeColor="text1"/>
        </w:rPr>
        <w:t xml:space="preserve">We used data from the demographic study detailed above in combination with results from greenhouse and field seedbank studies, to parameterize integral projection models (IPMs) for </w:t>
      </w:r>
      <w:r w:rsidRPr="002D7E9D">
        <w:rPr>
          <w:i/>
          <w:iCs/>
          <w:color w:val="000000" w:themeColor="text1"/>
        </w:rPr>
        <w:t>O. coloradensis</w:t>
      </w:r>
      <w:r w:rsidRPr="002D7E9D">
        <w:rPr>
          <w:color w:val="000000" w:themeColor="text1"/>
        </w:rPr>
        <w:t>. We first created a density-independent IPM using data from both populations that had a single continuous, size-based population state, and did not include a seedbank state (Table 2: IPM “A”). Then, we created a suite of IPMs that included both a discrete seedbank state, and a continuous, size-based stage for above-ground plants (</w:t>
      </w:r>
      <w:commentRangeStart w:id="18"/>
      <w:commentRangeStart w:id="19"/>
      <w:r w:rsidR="006C6F28">
        <w:rPr>
          <w:color w:val="000000" w:themeColor="text1"/>
        </w:rPr>
        <w:t>Table 2: IPMs “A” – “NN”</w:t>
      </w:r>
      <w:commentRangeEnd w:id="18"/>
      <w:r w:rsidR="006C6F28">
        <w:rPr>
          <w:rStyle w:val="CommentReference"/>
          <w:rFonts w:asciiTheme="minorHAnsi" w:eastAsiaTheme="minorHAnsi" w:hAnsiTheme="minorHAnsi" w:cstheme="minorBidi"/>
        </w:rPr>
        <w:commentReference w:id="18"/>
      </w:r>
      <w:commentRangeEnd w:id="19"/>
      <w:r w:rsidR="006C6F28">
        <w:rPr>
          <w:rStyle w:val="CommentReference"/>
          <w:rFonts w:asciiTheme="minorHAnsi" w:eastAsiaTheme="minorHAnsi" w:hAnsiTheme="minorHAnsi" w:cstheme="minorBidi"/>
        </w:rPr>
        <w:commentReference w:id="19"/>
      </w:r>
      <w:r w:rsidRPr="002D7E9D">
        <w:rPr>
          <w:color w:val="000000" w:themeColor="text1"/>
        </w:rPr>
        <w:t xml:space="preserve">) </w:t>
      </w:r>
      <w:r w:rsidRPr="002D7E9D">
        <w:rPr>
          <w:color w:val="000000" w:themeColor="text1"/>
        </w:rPr>
        <w:fldChar w:fldCharType="begin" w:fldLock="1"/>
      </w:r>
      <w:r w:rsidRPr="002D7E9D">
        <w:rPr>
          <w:color w:val="000000" w:themeColor="text1"/>
        </w:rPr>
        <w:instrText>ADDIN CSL_CITATION {"citationItems":[{"id":"ITEM-1","itemData":{"DOI":"10.1086/505762","ISBN":"0003-0147","ISSN":"0003-0147","PMID":"16874623","abstract":"We explore the effects of temporal variation in multiple demographic rates on the joint evolution of delayed reproduction and seed dormancy using integral projection models (IPMs). To do this, we extend the standard IPM to include a discrete state variable representing the number of seeds in the seed bank, density-dependent recruitment, and temporal variation in demography. Parameter estimates for Carlina vulgaris and Carduus nutans are obtained from long-term studies. Carlina is relatively long lived and has a short-lived seed bank, whereas most Carduus plants flower in their first year and the seed bank is long lived. Using the evolutionarily stable strategy (ESS) approach, we predict the observed flowering and germination strategies. There is excellent agreement between the predictions and the field observations. The effects of temporal variation on the joint ESS are partitioned into components arising from nonlinear averaging (systematic changes in the mean resulting from the interaction between variability and nonlinearity) and nonequilibrium dynamics (fluctuations in fitness caused by temporal variation). This shows that temporal variation can have substantial effects on the observed flowering and germination strategies and that covariance between demographic processes is important. We extend the models to include spatial population structure and assess the robustness of the results from the nonspatial models.","author":[{"dropping-particle":"","family":"Rees","given":"Mark","non-dropping-particle":"","parse-names":false,"suffix":""},{"dropping-particle":"","family":"Childs","given":"Dylan Z.","non-dropping-particle":"","parse-names":false,"suffix":""},{"dropping-particle":"","family":"Metcalf","given":"C. Jessica E.","non-dropping-particle":"","parse-names":false,"suffix":""},{"dropping-particle":"","family":"Rose","given":"Karen E.","non-dropping-particle":"","parse-names":false,"suffix":""},{"dropping-particle":"","family":"Sheppard","given":"Andy W","non-dropping-particle":"","parse-names":false,"suffix":""},{"dropping-particle":"","family":"Grubb","given":"Peter J","non-dropping-particle":"","parse-names":false,"suffix":""}],"container-title":"The American Naturalist","id":"ITEM-1","issue":"2","issued":{"date-parts":[["2006"]]},"page":"E53-E71","title":"Seed dormancy and delayed flowering in monocarpic plants: selective interactions in a stochastic environment.","type":"article-journal","volume":"168"},"uris":["http://www.mendeley.com/documents/?uuid=e60764e2-1671-4e86-abd1-49812285d6bb"]},{"id":"ITEM-2","itemData":{"DOI":"10.1086/499438","ISSN":"00030147","PMID":"16673349","abstract":"Matrix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 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 © 2006 by The University of Chicago. All rights reserved.","author":[{"dropping-particle":"","family":"Ellner","given":"Stephen P.","non-dropping-particle":"","parse-names":false,"suffix":""},{"dropping-particle":"","family":"Rees","given":"Mark","non-dropping-particle":"","parse-names":false,"suffix":""}],"container-title":"American Naturalist","id":"ITEM-2","issue":"3","issued":{"date-parts":[["2006"]]},"page":"410-428","title":"Integral projection models for species with complex demography","type":"article-journal","volume":"167"},"uris":["http://www.mendeley.com/documents/?uuid=32fc7119-c231-4ae5-934b-fb3de57e05ac"]},{"id":"ITEM-3","itemData":{"DOI":"10.1111/oik.03696","ISBN":"1600-0706","ISSN":"16000706","abstract":"Dormant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-3","issue":"6","issued":{"date-parts":[["2017"]]},"page":"900-909","title":"Accounting for uncertainty in dormant life stages in stochastic demographic models","type":"article-journal","volume":"126"},"uris":["http://www.mendeley.com/documents/?uuid=43ed3b29-94b8-4286-8d6a-e2b7763b671f"]}],"mendeley":{"formattedCitation":"(Ellner and Rees 2006, Rees et al. 2006, Paniw et al. 2017)","plainTextFormattedCitation":"(Ellner and Rees 2006, Rees et al. 2006, Paniw et al. 2017)","previouslyFormattedCitation":"(Ellner and Rees 2006, Rees et al. 2006, Paniw et al. 2017)"},"properties":{"noteIndex":0},"schema":"https://github.com/citation-style-language/schema/raw/master/csl-citation.json"}</w:instrText>
      </w:r>
      <w:r w:rsidRPr="002D7E9D">
        <w:rPr>
          <w:color w:val="000000" w:themeColor="text1"/>
        </w:rPr>
        <w:fldChar w:fldCharType="separate"/>
      </w:r>
      <w:r w:rsidRPr="002D7E9D">
        <w:rPr>
          <w:noProof/>
          <w:color w:val="000000" w:themeColor="text1"/>
        </w:rPr>
        <w:t>(Ellner and Rees 2006, Rees et al. 2006, Paniw et al. 2017)</w:t>
      </w:r>
      <w:r w:rsidRPr="002D7E9D">
        <w:rPr>
          <w:color w:val="000000" w:themeColor="text1"/>
        </w:rPr>
        <w:fldChar w:fldCharType="end"/>
      </w:r>
      <w:r w:rsidRPr="002D7E9D">
        <w:rPr>
          <w:color w:val="000000" w:themeColor="text1"/>
        </w:rPr>
        <w:t xml:space="preserve">.  Each of these IPMs used a different subset of data, and included different covariates in vital rate models. First, the data used to fit vital rate models came either from a single subpopulation, a population </w:t>
      </w:r>
      <w:r w:rsidRPr="002D7E9D">
        <w:rPr>
          <w:color w:val="000000" w:themeColor="text1"/>
        </w:rPr>
        <w:lastRenderedPageBreak/>
        <w:t xml:space="preserve">(FEWAFB or Soapstone prairie), or from all locations, and included data for both transitions, or only one transition (2018-2019 or 2019-2020). Second, while all vital rate models included </w:t>
      </w:r>
      <w:proofErr w:type="spellStart"/>
      <w:r w:rsidRPr="002D7E9D">
        <w:rPr>
          <w:color w:val="000000" w:themeColor="text1"/>
        </w:rPr>
        <w:t>size</w:t>
      </w:r>
      <w:r w:rsidRPr="002D7E9D">
        <w:rPr>
          <w:color w:val="000000" w:themeColor="text1"/>
          <w:vertAlign w:val="subscript"/>
        </w:rPr>
        <w:softHyphen/>
      </w:r>
      <w:r w:rsidRPr="002D7E9D">
        <w:rPr>
          <w:i/>
          <w:iCs/>
          <w:color w:val="000000" w:themeColor="text1"/>
          <w:vertAlign w:val="subscript"/>
        </w:rPr>
        <w:t>t</w:t>
      </w:r>
      <w:proofErr w:type="spellEnd"/>
      <w:r w:rsidRPr="002D7E9D">
        <w:rPr>
          <w:color w:val="000000" w:themeColor="text1"/>
          <w:vertAlign w:val="subscript"/>
        </w:rPr>
        <w:t xml:space="preserve">  </w:t>
      </w:r>
      <w:r w:rsidRPr="002D7E9D">
        <w:rPr>
          <w:color w:val="000000" w:themeColor="text1"/>
        </w:rPr>
        <w:t>(or in some cases when the model fitting process indicated,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w:t>
      </w:r>
      <w:r w:rsidRPr="002D7E9D">
        <w:rPr>
          <w:color w:val="000000" w:themeColor="text1"/>
          <w:vertAlign w:val="superscript"/>
        </w:rPr>
        <w:t>2</w:t>
      </w:r>
      <w:r w:rsidRPr="002D7E9D">
        <w:rPr>
          <w:color w:val="000000" w:themeColor="text1"/>
        </w:rPr>
        <w:t xml:space="preserve">) as a predictor of vital rates, these models could also include predictor terms for any combination of the following: population size in the previous year (to account for density dependence), environmental variation (water year precipitation, mean annual growing season temperature, and mean annual winter temperature), and a random intercept of subpopulation to approximate effects of demographic stochasticity. </w:t>
      </w:r>
    </w:p>
    <w:p w14:paraId="1F0AF504" w14:textId="2CA2AFE6" w:rsidR="00450A49" w:rsidRDefault="00450A49" w:rsidP="00450A49">
      <w:pPr>
        <w:spacing w:line="360" w:lineRule="auto"/>
        <w:rPr>
          <w:rFonts w:ascii="Times New Roman" w:eastAsia="HGSMinchoE" w:hAnsi="Times New Roman" w:cs="Times New Roman"/>
          <w:color w:val="000000" w:themeColor="text1"/>
        </w:rPr>
      </w:pPr>
      <w:r w:rsidRPr="002D7E9D">
        <w:rPr>
          <w:rFonts w:ascii="Times New Roman" w:hAnsi="Times New Roman" w:cs="Times New Roman"/>
          <w:color w:val="000000" w:themeColor="text1"/>
        </w:rPr>
        <w:t xml:space="preserve">Table 2. A description of the data used to create each IPM, as well as the covariates included in the vital rate models used in that IPM. </w:t>
      </w:r>
      <w:r>
        <w:rPr>
          <w:rFonts w:ascii="Times New Roman" w:eastAsia="HGSMinchoE" w:hAnsi="Times New Roman" w:cs="Times New Roman"/>
          <w:color w:val="000000" w:themeColor="text1"/>
        </w:rPr>
        <w:t>ln(</w:t>
      </w:r>
      <w:r w:rsidRPr="002D7E9D">
        <w:rPr>
          <w:rFonts w:ascii="Times New Roman" w:eastAsia="HGSMinchoE" w:hAnsi="Times New Roman" w:cs="Times New Roman"/>
          <w:color w:val="000000" w:themeColor="text1"/>
        </w:rPr>
        <w:t xml:space="preserve">λ) estimates and 95% bootstrap confidence intervals of </w:t>
      </w:r>
      <w:r>
        <w:rPr>
          <w:rFonts w:ascii="Times New Roman" w:eastAsia="HGSMinchoE" w:hAnsi="Times New Roman" w:cs="Times New Roman"/>
          <w:color w:val="000000" w:themeColor="text1"/>
        </w:rPr>
        <w:t>ln(</w:t>
      </w:r>
      <w:r w:rsidRPr="002D7E9D">
        <w:rPr>
          <w:rFonts w:ascii="Times New Roman" w:eastAsia="HGSMinchoE" w:hAnsi="Times New Roman" w:cs="Times New Roman"/>
          <w:color w:val="000000" w:themeColor="text1"/>
        </w:rPr>
        <w:t>λ) are also shown for each IPM</w:t>
      </w:r>
      <w:r w:rsidRPr="002D7E9D">
        <w:rPr>
          <w:rFonts w:eastAsia="HGSMinchoE"/>
          <w:color w:val="000000" w:themeColor="text1"/>
        </w:rPr>
        <w:t xml:space="preserve">. </w:t>
      </w:r>
      <w:r>
        <w:rPr>
          <w:rFonts w:ascii="Times New Roman" w:eastAsia="HGSMinchoE" w:hAnsi="Times New Roman" w:cs="Times New Roman"/>
          <w:color w:val="000000" w:themeColor="text1"/>
        </w:rPr>
        <w:t>ln(</w:t>
      </w:r>
      <w:r w:rsidRPr="002D7E9D">
        <w:rPr>
          <w:rFonts w:ascii="Times New Roman" w:eastAsia="HGSMinchoE" w:hAnsi="Times New Roman" w:cs="Times New Roman"/>
          <w:color w:val="000000" w:themeColor="text1"/>
        </w:rPr>
        <w:t xml:space="preserve">λ) is not given for IPMs that were constructed with random effects or continuous environmental covariates, since those models were implemented stochastically. For those models, </w:t>
      </w:r>
      <w:r>
        <w:rPr>
          <w:rFonts w:ascii="Times New Roman" w:eastAsia="HGSMinchoE" w:hAnsi="Times New Roman" w:cs="Times New Roman"/>
          <w:color w:val="000000" w:themeColor="text1"/>
        </w:rPr>
        <w:t>ln(</w:t>
      </w:r>
      <w:proofErr w:type="spellStart"/>
      <w:r w:rsidRPr="002D7E9D">
        <w:rPr>
          <w:rFonts w:ascii="Times New Roman" w:eastAsia="HGSMinchoE" w:hAnsi="Times New Roman" w:cs="Times New Roman"/>
          <w:color w:val="000000" w:themeColor="text1"/>
        </w:rPr>
        <w:t>λ</w:t>
      </w:r>
      <w:r w:rsidRPr="002D7E9D">
        <w:rPr>
          <w:rFonts w:ascii="Times New Roman" w:eastAsia="HGSMinchoE" w:hAnsi="Times New Roman" w:cs="Times New Roman"/>
          <w:color w:val="000000" w:themeColor="text1"/>
          <w:vertAlign w:val="subscript"/>
        </w:rPr>
        <w:t>s</w:t>
      </w:r>
      <w:proofErr w:type="spellEnd"/>
      <w:r w:rsidRPr="002D7E9D">
        <w:rPr>
          <w:rFonts w:ascii="Times New Roman" w:eastAsia="HGSMinchoE" w:hAnsi="Times New Roman" w:cs="Times New Roman"/>
          <w:color w:val="000000" w:themeColor="text1"/>
        </w:rPr>
        <w:t xml:space="preserve">) is given instead.  </w:t>
      </w:r>
    </w:p>
    <w:p w14:paraId="0266696E" w14:textId="77777777" w:rsidR="00450A49" w:rsidRPr="002D7E9D" w:rsidRDefault="00450A49" w:rsidP="00450A49">
      <w:pPr>
        <w:spacing w:line="360" w:lineRule="auto"/>
        <w:rPr>
          <w:rFonts w:eastAsia="HGSMinchoE"/>
          <w:color w:val="000000" w:themeColor="text1"/>
        </w:rPr>
      </w:pPr>
    </w:p>
    <w:tbl>
      <w:tblPr>
        <w:tblStyle w:val="TableGrid"/>
        <w:tblW w:w="9180" w:type="dxa"/>
        <w:tblInd w:w="-23" w:type="dxa"/>
        <w:tblLayout w:type="fixed"/>
        <w:tblLook w:val="04A0" w:firstRow="1" w:lastRow="0" w:firstColumn="1" w:lastColumn="0" w:noHBand="0" w:noVBand="1"/>
      </w:tblPr>
      <w:tblGrid>
        <w:gridCol w:w="630"/>
        <w:gridCol w:w="360"/>
        <w:gridCol w:w="360"/>
        <w:gridCol w:w="450"/>
        <w:gridCol w:w="360"/>
        <w:gridCol w:w="360"/>
        <w:gridCol w:w="360"/>
        <w:gridCol w:w="360"/>
        <w:gridCol w:w="360"/>
        <w:gridCol w:w="360"/>
        <w:gridCol w:w="360"/>
        <w:gridCol w:w="360"/>
        <w:gridCol w:w="450"/>
        <w:gridCol w:w="360"/>
        <w:gridCol w:w="360"/>
        <w:gridCol w:w="450"/>
        <w:gridCol w:w="450"/>
        <w:gridCol w:w="450"/>
        <w:gridCol w:w="1260"/>
        <w:gridCol w:w="720"/>
      </w:tblGrid>
      <w:tr w:rsidR="00450A49" w:rsidRPr="00395879" w14:paraId="30029AE2" w14:textId="77777777" w:rsidTr="00D74BE2">
        <w:tc>
          <w:tcPr>
            <w:tcW w:w="630" w:type="dxa"/>
            <w:vMerge w:val="restart"/>
            <w:tcBorders>
              <w:top w:val="single" w:sz="18" w:space="0" w:color="000000"/>
              <w:left w:val="single" w:sz="18" w:space="0" w:color="000000"/>
              <w:right w:val="single" w:sz="18" w:space="0" w:color="000000"/>
            </w:tcBorders>
          </w:tcPr>
          <w:p w14:paraId="2DE765AC"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 xml:space="preserve">IPM </w:t>
            </w:r>
          </w:p>
        </w:tc>
        <w:tc>
          <w:tcPr>
            <w:tcW w:w="4050" w:type="dxa"/>
            <w:gridSpan w:val="11"/>
            <w:tcBorders>
              <w:top w:val="single" w:sz="18" w:space="0" w:color="000000"/>
              <w:left w:val="single" w:sz="18" w:space="0" w:color="000000"/>
              <w:right w:val="single" w:sz="18" w:space="0" w:color="000000"/>
            </w:tcBorders>
          </w:tcPr>
          <w:p w14:paraId="2134409E" w14:textId="77777777" w:rsidR="00450A49" w:rsidRPr="00395879" w:rsidRDefault="00450A49" w:rsidP="00D74BE2">
            <w:pPr>
              <w:pStyle w:val="NormalWeb"/>
              <w:rPr>
                <w:rFonts w:eastAsia="HGSMinchoE"/>
                <w:color w:val="000000" w:themeColor="text1"/>
                <w:sz w:val="22"/>
                <w:szCs w:val="22"/>
              </w:rPr>
            </w:pPr>
            <w:r w:rsidRPr="00395879">
              <w:rPr>
                <w:rFonts w:eastAsia="HGSMinchoE"/>
                <w:color w:val="000000" w:themeColor="text1"/>
                <w:sz w:val="22"/>
                <w:szCs w:val="22"/>
              </w:rPr>
              <w:t>Data Included</w:t>
            </w:r>
          </w:p>
        </w:tc>
        <w:tc>
          <w:tcPr>
            <w:tcW w:w="1170" w:type="dxa"/>
            <w:gridSpan w:val="3"/>
            <w:tcBorders>
              <w:top w:val="single" w:sz="18" w:space="0" w:color="000000"/>
              <w:left w:val="single" w:sz="18" w:space="0" w:color="000000"/>
              <w:bottom w:val="single" w:sz="12" w:space="0" w:color="000000" w:themeColor="text1"/>
              <w:right w:val="single" w:sz="18" w:space="0" w:color="000000" w:themeColor="text1"/>
            </w:tcBorders>
          </w:tcPr>
          <w:p w14:paraId="6C9FC2AA" w14:textId="77777777" w:rsidR="00450A49" w:rsidRPr="00395879" w:rsidRDefault="00450A49" w:rsidP="00D74BE2">
            <w:pPr>
              <w:pStyle w:val="NormalWeb"/>
              <w:rPr>
                <w:rFonts w:eastAsia="HGSMinchoE"/>
                <w:color w:val="000000" w:themeColor="text1"/>
                <w:sz w:val="22"/>
                <w:szCs w:val="22"/>
              </w:rPr>
            </w:pPr>
            <w:r w:rsidRPr="00395879">
              <w:rPr>
                <w:rFonts w:eastAsia="HGSMinchoE"/>
                <w:color w:val="000000" w:themeColor="text1"/>
                <w:sz w:val="22"/>
                <w:szCs w:val="22"/>
              </w:rPr>
              <w:t>Transition</w:t>
            </w:r>
            <w:r>
              <w:rPr>
                <w:rFonts w:eastAsia="HGSMinchoE"/>
                <w:color w:val="000000" w:themeColor="text1"/>
                <w:sz w:val="22"/>
                <w:szCs w:val="22"/>
              </w:rPr>
              <w:t xml:space="preserve"> </w:t>
            </w:r>
            <w:r w:rsidRPr="00395879">
              <w:rPr>
                <w:rFonts w:eastAsia="HGSMinchoE"/>
                <w:color w:val="000000" w:themeColor="text1"/>
                <w:sz w:val="22"/>
                <w:szCs w:val="22"/>
              </w:rPr>
              <w:t xml:space="preserve">included </w:t>
            </w:r>
          </w:p>
        </w:tc>
        <w:tc>
          <w:tcPr>
            <w:tcW w:w="1350" w:type="dxa"/>
            <w:gridSpan w:val="3"/>
            <w:tcBorders>
              <w:top w:val="single" w:sz="18" w:space="0" w:color="000000"/>
              <w:left w:val="single" w:sz="18" w:space="0" w:color="000000" w:themeColor="text1"/>
              <w:bottom w:val="single" w:sz="12" w:space="0" w:color="000000" w:themeColor="text1"/>
              <w:right w:val="single" w:sz="18" w:space="0" w:color="000000"/>
            </w:tcBorders>
          </w:tcPr>
          <w:p w14:paraId="47FBE8B9" w14:textId="77777777" w:rsidR="00450A49" w:rsidRPr="00395879" w:rsidRDefault="00450A49" w:rsidP="00D74BE2">
            <w:pPr>
              <w:pStyle w:val="NormalWeb"/>
              <w:rPr>
                <w:rFonts w:eastAsia="HGSMinchoE"/>
                <w:color w:val="000000" w:themeColor="text1"/>
                <w:sz w:val="22"/>
                <w:szCs w:val="22"/>
              </w:rPr>
            </w:pPr>
            <w:r w:rsidRPr="00395879">
              <w:rPr>
                <w:rFonts w:eastAsia="HGSMinchoE"/>
                <w:color w:val="000000" w:themeColor="text1"/>
                <w:sz w:val="22"/>
                <w:szCs w:val="22"/>
              </w:rPr>
              <w:t xml:space="preserve">Covariates included </w:t>
            </w:r>
          </w:p>
        </w:tc>
        <w:tc>
          <w:tcPr>
            <w:tcW w:w="1260" w:type="dxa"/>
            <w:vMerge w:val="restart"/>
            <w:tcBorders>
              <w:top w:val="single" w:sz="18" w:space="0" w:color="000000"/>
              <w:left w:val="single" w:sz="18" w:space="0" w:color="000000" w:themeColor="text1"/>
              <w:right w:val="single" w:sz="18" w:space="0" w:color="000000"/>
            </w:tcBorders>
          </w:tcPr>
          <w:p w14:paraId="261BC984" w14:textId="77777777" w:rsidR="00450A49" w:rsidRPr="00395879" w:rsidRDefault="00450A49" w:rsidP="00D74BE2">
            <w:pPr>
              <w:pStyle w:val="NormalWeb"/>
              <w:rPr>
                <w:rFonts w:eastAsia="HGSMinchoE"/>
                <w:color w:val="000000" w:themeColor="text1"/>
                <w:sz w:val="22"/>
                <w:szCs w:val="22"/>
              </w:rPr>
            </w:pPr>
            <w:r w:rsidRPr="00411D27">
              <w:rPr>
                <w:rFonts w:eastAsia="HGSMinchoE"/>
                <w:color w:val="000000" w:themeColor="text1"/>
                <w:sz w:val="20"/>
                <w:szCs w:val="20"/>
              </w:rPr>
              <w:t>ln</w:t>
            </w:r>
            <w:r w:rsidRPr="00395879">
              <w:rPr>
                <w:rFonts w:eastAsia="HGSMinchoE"/>
                <w:color w:val="000000" w:themeColor="text1"/>
                <w:sz w:val="22"/>
                <w:szCs w:val="22"/>
              </w:rPr>
              <w:t xml:space="preserve">(λ) </w:t>
            </w:r>
            <w:r>
              <w:rPr>
                <w:rFonts w:eastAsia="HGSMinchoE"/>
                <w:color w:val="000000" w:themeColor="text1"/>
                <w:sz w:val="22"/>
                <w:szCs w:val="22"/>
              </w:rPr>
              <w:t xml:space="preserve">  </w:t>
            </w:r>
            <w:r w:rsidRPr="00395879">
              <w:rPr>
                <w:rFonts w:eastAsia="HGSMinchoE"/>
                <w:color w:val="000000" w:themeColor="text1"/>
                <w:sz w:val="22"/>
                <w:szCs w:val="22"/>
              </w:rPr>
              <w:t>(95% CI)</w:t>
            </w:r>
          </w:p>
        </w:tc>
        <w:tc>
          <w:tcPr>
            <w:tcW w:w="720" w:type="dxa"/>
            <w:vMerge w:val="restart"/>
            <w:tcBorders>
              <w:top w:val="single" w:sz="18" w:space="0" w:color="000000"/>
              <w:left w:val="single" w:sz="18" w:space="0" w:color="000000" w:themeColor="text1"/>
              <w:right w:val="single" w:sz="18" w:space="0" w:color="000000"/>
            </w:tcBorders>
          </w:tcPr>
          <w:p w14:paraId="130E8B4C" w14:textId="77777777" w:rsidR="00450A49" w:rsidRPr="00395879" w:rsidRDefault="00450A49" w:rsidP="00D74BE2">
            <w:pPr>
              <w:pStyle w:val="NormalWeb"/>
              <w:rPr>
                <w:rFonts w:eastAsia="HGSMinchoE"/>
                <w:color w:val="000000" w:themeColor="text1"/>
                <w:sz w:val="22"/>
                <w:szCs w:val="22"/>
                <w:vertAlign w:val="subscript"/>
              </w:rPr>
            </w:pPr>
            <w:r w:rsidRPr="00411D27">
              <w:rPr>
                <w:rFonts w:eastAsia="HGSMinchoE"/>
                <w:color w:val="000000" w:themeColor="text1"/>
                <w:sz w:val="20"/>
                <w:szCs w:val="20"/>
              </w:rPr>
              <w:t>ln</w:t>
            </w:r>
            <w:r w:rsidRPr="00395879">
              <w:rPr>
                <w:rFonts w:eastAsia="HGSMinchoE"/>
                <w:color w:val="000000" w:themeColor="text1"/>
                <w:sz w:val="22"/>
                <w:szCs w:val="22"/>
              </w:rPr>
              <w:t>(</w:t>
            </w:r>
            <w:proofErr w:type="spellStart"/>
            <w:r w:rsidRPr="00395879">
              <w:rPr>
                <w:rFonts w:eastAsia="HGSMinchoE"/>
                <w:color w:val="000000" w:themeColor="text1"/>
                <w:sz w:val="22"/>
                <w:szCs w:val="22"/>
              </w:rPr>
              <w:t>λ</w:t>
            </w:r>
            <w:r w:rsidRPr="00395879">
              <w:rPr>
                <w:rFonts w:eastAsia="HGSMinchoE"/>
                <w:color w:val="000000" w:themeColor="text1"/>
                <w:sz w:val="22"/>
                <w:szCs w:val="22"/>
                <w:vertAlign w:val="subscript"/>
              </w:rPr>
              <w:t>s</w:t>
            </w:r>
            <w:proofErr w:type="spellEnd"/>
            <w:r w:rsidRPr="00411D27">
              <w:rPr>
                <w:rFonts w:eastAsia="HGSMinchoE"/>
                <w:color w:val="000000" w:themeColor="text1"/>
                <w:sz w:val="22"/>
                <w:szCs w:val="22"/>
              </w:rPr>
              <w:t>)</w:t>
            </w:r>
          </w:p>
        </w:tc>
      </w:tr>
      <w:tr w:rsidR="00450A49" w:rsidRPr="00395879" w14:paraId="19D980C2" w14:textId="77777777" w:rsidTr="00D74BE2">
        <w:trPr>
          <w:cantSplit/>
          <w:trHeight w:val="1765"/>
        </w:trPr>
        <w:tc>
          <w:tcPr>
            <w:tcW w:w="630" w:type="dxa"/>
            <w:vMerge/>
            <w:tcBorders>
              <w:left w:val="single" w:sz="18" w:space="0" w:color="000000"/>
              <w:right w:val="single" w:sz="18" w:space="0" w:color="000000"/>
            </w:tcBorders>
          </w:tcPr>
          <w:p w14:paraId="6EFC9362" w14:textId="77777777" w:rsidR="00450A49" w:rsidRPr="00411D27" w:rsidRDefault="00450A49" w:rsidP="00D74BE2">
            <w:pPr>
              <w:pStyle w:val="NormalWeb"/>
              <w:rPr>
                <w:rFonts w:eastAsia="HGSMinchoE"/>
                <w:color w:val="000000" w:themeColor="text1"/>
                <w:sz w:val="20"/>
                <w:szCs w:val="20"/>
              </w:rPr>
            </w:pPr>
          </w:p>
        </w:tc>
        <w:tc>
          <w:tcPr>
            <w:tcW w:w="360" w:type="dxa"/>
            <w:vMerge w:val="restart"/>
            <w:tcBorders>
              <w:top w:val="single" w:sz="12" w:space="0" w:color="000000" w:themeColor="text1"/>
              <w:left w:val="single" w:sz="18" w:space="0" w:color="000000"/>
              <w:right w:val="single" w:sz="8" w:space="0" w:color="000000"/>
            </w:tcBorders>
            <w:textDirection w:val="btLr"/>
            <w:vAlign w:val="center"/>
          </w:tcPr>
          <w:p w14:paraId="6AAF1B26"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Continuous state only</w:t>
            </w:r>
          </w:p>
        </w:tc>
        <w:tc>
          <w:tcPr>
            <w:tcW w:w="360" w:type="dxa"/>
            <w:vMerge w:val="restart"/>
            <w:tcBorders>
              <w:top w:val="single" w:sz="12" w:space="0" w:color="000000" w:themeColor="text1"/>
              <w:left w:val="single" w:sz="8" w:space="0" w:color="000000"/>
              <w:right w:val="single" w:sz="18" w:space="0" w:color="000000"/>
            </w:tcBorders>
            <w:textDirection w:val="btLr"/>
            <w:vAlign w:val="center"/>
          </w:tcPr>
          <w:p w14:paraId="5AB16715"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Continuous + seedbank states</w:t>
            </w:r>
          </w:p>
        </w:tc>
        <w:tc>
          <w:tcPr>
            <w:tcW w:w="450" w:type="dxa"/>
            <w:vMerge w:val="restart"/>
            <w:tcBorders>
              <w:top w:val="single" w:sz="12" w:space="0" w:color="000000" w:themeColor="text1"/>
              <w:left w:val="single" w:sz="18" w:space="0" w:color="000000"/>
              <w:right w:val="single" w:sz="12" w:space="0" w:color="000000" w:themeColor="text1"/>
            </w:tcBorders>
            <w:textDirection w:val="btLr"/>
            <w:vAlign w:val="center"/>
          </w:tcPr>
          <w:p w14:paraId="62CC6825"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All subpopulations</w:t>
            </w:r>
          </w:p>
        </w:tc>
        <w:tc>
          <w:tcPr>
            <w:tcW w:w="72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extDirection w:val="btLr"/>
            <w:vAlign w:val="center"/>
          </w:tcPr>
          <w:p w14:paraId="56C43346"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Each population</w:t>
            </w:r>
          </w:p>
        </w:tc>
        <w:tc>
          <w:tcPr>
            <w:tcW w:w="2160" w:type="dxa"/>
            <w:gridSpan w:val="6"/>
            <w:tcBorders>
              <w:top w:val="single" w:sz="12" w:space="0" w:color="000000" w:themeColor="text1"/>
              <w:left w:val="single" w:sz="12" w:space="0" w:color="000000" w:themeColor="text1"/>
              <w:bottom w:val="single" w:sz="12" w:space="0" w:color="000000" w:themeColor="text1"/>
              <w:right w:val="single" w:sz="18" w:space="0" w:color="000000"/>
            </w:tcBorders>
            <w:textDirection w:val="btLr"/>
            <w:vAlign w:val="center"/>
          </w:tcPr>
          <w:p w14:paraId="3FEFEA7B"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Each subpopulation</w:t>
            </w:r>
          </w:p>
        </w:tc>
        <w:tc>
          <w:tcPr>
            <w:tcW w:w="450" w:type="dxa"/>
            <w:vMerge w:val="restart"/>
            <w:tcBorders>
              <w:top w:val="single" w:sz="12" w:space="0" w:color="000000" w:themeColor="text1"/>
              <w:left w:val="single" w:sz="18" w:space="0" w:color="000000"/>
              <w:right w:val="single" w:sz="12" w:space="0" w:color="000000" w:themeColor="text1"/>
            </w:tcBorders>
            <w:textDirection w:val="btLr"/>
          </w:tcPr>
          <w:p w14:paraId="720359A8"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 xml:space="preserve">All transitions </w:t>
            </w:r>
          </w:p>
        </w:tc>
        <w:tc>
          <w:tcPr>
            <w:tcW w:w="720" w:type="dxa"/>
            <w:gridSpan w:val="2"/>
            <w:tcBorders>
              <w:top w:val="single" w:sz="12" w:space="0" w:color="000000" w:themeColor="text1"/>
              <w:left w:val="single" w:sz="12" w:space="0" w:color="000000" w:themeColor="text1"/>
              <w:bottom w:val="single" w:sz="12" w:space="0" w:color="000000" w:themeColor="text1"/>
              <w:right w:val="single" w:sz="18" w:space="0" w:color="000000" w:themeColor="text1"/>
            </w:tcBorders>
            <w:textDirection w:val="btLr"/>
          </w:tcPr>
          <w:p w14:paraId="05936E3B"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Each transition</w:t>
            </w:r>
          </w:p>
        </w:tc>
        <w:tc>
          <w:tcPr>
            <w:tcW w:w="450" w:type="dxa"/>
            <w:vMerge w:val="restart"/>
            <w:tcBorders>
              <w:top w:val="single" w:sz="12" w:space="0" w:color="000000" w:themeColor="text1"/>
              <w:left w:val="single" w:sz="18" w:space="0" w:color="000000" w:themeColor="text1"/>
              <w:right w:val="single" w:sz="12" w:space="0" w:color="000000" w:themeColor="text1"/>
            </w:tcBorders>
            <w:textDirection w:val="btLr"/>
          </w:tcPr>
          <w:p w14:paraId="03F88C01"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 xml:space="preserve">Density dependence </w:t>
            </w:r>
          </w:p>
        </w:tc>
        <w:tc>
          <w:tcPr>
            <w:tcW w:w="450" w:type="dxa"/>
            <w:vMerge w:val="restart"/>
            <w:tcBorders>
              <w:top w:val="single" w:sz="12" w:space="0" w:color="000000" w:themeColor="text1"/>
              <w:left w:val="single" w:sz="12" w:space="0" w:color="000000" w:themeColor="text1"/>
              <w:right w:val="single" w:sz="18" w:space="0" w:color="000000"/>
            </w:tcBorders>
            <w:textDirection w:val="btLr"/>
          </w:tcPr>
          <w:p w14:paraId="711FA92C"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 xml:space="preserve">Environmental covariates </w:t>
            </w:r>
          </w:p>
        </w:tc>
        <w:tc>
          <w:tcPr>
            <w:tcW w:w="450" w:type="dxa"/>
            <w:vMerge w:val="restart"/>
            <w:tcBorders>
              <w:top w:val="single" w:sz="12" w:space="0" w:color="000000" w:themeColor="text1"/>
              <w:left w:val="single" w:sz="12" w:space="0" w:color="000000" w:themeColor="text1"/>
              <w:right w:val="single" w:sz="18" w:space="0" w:color="000000" w:themeColor="text1"/>
            </w:tcBorders>
            <w:textDirection w:val="btLr"/>
          </w:tcPr>
          <w:p w14:paraId="66AA00A2"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subpopulation random intercept</w:t>
            </w:r>
          </w:p>
        </w:tc>
        <w:tc>
          <w:tcPr>
            <w:tcW w:w="1260" w:type="dxa"/>
            <w:vMerge/>
            <w:tcBorders>
              <w:left w:val="single" w:sz="18" w:space="0" w:color="000000" w:themeColor="text1"/>
              <w:right w:val="single" w:sz="18" w:space="0" w:color="000000"/>
            </w:tcBorders>
            <w:textDirection w:val="btLr"/>
          </w:tcPr>
          <w:p w14:paraId="22E7263D" w14:textId="77777777" w:rsidR="00450A49" w:rsidRPr="00395879" w:rsidRDefault="00450A49" w:rsidP="00D74BE2">
            <w:pPr>
              <w:pStyle w:val="NormalWeb"/>
              <w:ind w:left="113" w:right="113"/>
              <w:rPr>
                <w:rFonts w:eastAsia="HGSMinchoE"/>
                <w:color w:val="000000" w:themeColor="text1"/>
                <w:sz w:val="22"/>
                <w:szCs w:val="22"/>
              </w:rPr>
            </w:pPr>
          </w:p>
        </w:tc>
        <w:tc>
          <w:tcPr>
            <w:tcW w:w="720" w:type="dxa"/>
            <w:vMerge/>
            <w:tcBorders>
              <w:left w:val="single" w:sz="18" w:space="0" w:color="000000" w:themeColor="text1"/>
              <w:right w:val="single" w:sz="18" w:space="0" w:color="000000"/>
            </w:tcBorders>
            <w:textDirection w:val="btLr"/>
          </w:tcPr>
          <w:p w14:paraId="18B2AE68" w14:textId="77777777" w:rsidR="00450A49" w:rsidRPr="00395879" w:rsidRDefault="00450A49" w:rsidP="00D74BE2">
            <w:pPr>
              <w:pStyle w:val="NormalWeb"/>
              <w:ind w:left="113" w:right="113"/>
              <w:rPr>
                <w:rFonts w:eastAsia="HGSMinchoE"/>
                <w:color w:val="000000" w:themeColor="text1"/>
                <w:sz w:val="22"/>
                <w:szCs w:val="22"/>
              </w:rPr>
            </w:pPr>
          </w:p>
        </w:tc>
      </w:tr>
      <w:tr w:rsidR="00450A49" w:rsidRPr="00395879" w14:paraId="3169D11A" w14:textId="77777777" w:rsidTr="00D74BE2">
        <w:trPr>
          <w:cantSplit/>
          <w:trHeight w:val="1770"/>
        </w:trPr>
        <w:tc>
          <w:tcPr>
            <w:tcW w:w="630" w:type="dxa"/>
            <w:vMerge/>
            <w:tcBorders>
              <w:left w:val="single" w:sz="18" w:space="0" w:color="000000"/>
              <w:right w:val="single" w:sz="18" w:space="0" w:color="000000"/>
            </w:tcBorders>
          </w:tcPr>
          <w:p w14:paraId="482D5610" w14:textId="77777777" w:rsidR="00450A49" w:rsidRPr="00411D27" w:rsidRDefault="00450A49" w:rsidP="00D74BE2">
            <w:pPr>
              <w:pStyle w:val="NormalWeb"/>
              <w:rPr>
                <w:rFonts w:eastAsia="HGSMinchoE"/>
                <w:color w:val="000000" w:themeColor="text1"/>
                <w:sz w:val="20"/>
                <w:szCs w:val="20"/>
              </w:rPr>
            </w:pPr>
          </w:p>
        </w:tc>
        <w:tc>
          <w:tcPr>
            <w:tcW w:w="360" w:type="dxa"/>
            <w:vMerge/>
            <w:tcBorders>
              <w:left w:val="single" w:sz="18" w:space="0" w:color="000000"/>
              <w:bottom w:val="single" w:sz="18" w:space="0" w:color="000000" w:themeColor="text1"/>
              <w:right w:val="single" w:sz="8" w:space="0" w:color="000000"/>
            </w:tcBorders>
            <w:textDirection w:val="btLr"/>
            <w:vAlign w:val="center"/>
          </w:tcPr>
          <w:p w14:paraId="0E4B7783" w14:textId="77777777" w:rsidR="00450A49" w:rsidRPr="00395879" w:rsidRDefault="00450A49" w:rsidP="00D74BE2">
            <w:pPr>
              <w:pStyle w:val="NormalWeb"/>
              <w:ind w:left="113" w:right="113"/>
              <w:rPr>
                <w:rFonts w:eastAsia="HGSMinchoE"/>
                <w:color w:val="000000" w:themeColor="text1"/>
                <w:sz w:val="22"/>
                <w:szCs w:val="22"/>
              </w:rPr>
            </w:pPr>
          </w:p>
        </w:tc>
        <w:tc>
          <w:tcPr>
            <w:tcW w:w="360" w:type="dxa"/>
            <w:vMerge/>
            <w:tcBorders>
              <w:left w:val="single" w:sz="8" w:space="0" w:color="000000"/>
              <w:bottom w:val="single" w:sz="18" w:space="0" w:color="000000" w:themeColor="text1"/>
              <w:right w:val="single" w:sz="18" w:space="0" w:color="000000"/>
            </w:tcBorders>
            <w:textDirection w:val="btLr"/>
            <w:vAlign w:val="center"/>
          </w:tcPr>
          <w:p w14:paraId="00348BF3" w14:textId="77777777" w:rsidR="00450A49" w:rsidRPr="00395879" w:rsidRDefault="00450A49" w:rsidP="00D74BE2">
            <w:pPr>
              <w:pStyle w:val="NormalWeb"/>
              <w:ind w:left="113" w:right="113"/>
              <w:rPr>
                <w:rFonts w:eastAsia="HGSMinchoE"/>
                <w:color w:val="000000" w:themeColor="text1"/>
                <w:sz w:val="22"/>
                <w:szCs w:val="22"/>
              </w:rPr>
            </w:pPr>
          </w:p>
        </w:tc>
        <w:tc>
          <w:tcPr>
            <w:tcW w:w="450" w:type="dxa"/>
            <w:vMerge/>
            <w:tcBorders>
              <w:left w:val="single" w:sz="18" w:space="0" w:color="000000"/>
              <w:right w:val="single" w:sz="12" w:space="0" w:color="000000" w:themeColor="text1"/>
            </w:tcBorders>
            <w:textDirection w:val="btLr"/>
            <w:vAlign w:val="center"/>
          </w:tcPr>
          <w:p w14:paraId="7AE994F5" w14:textId="77777777" w:rsidR="00450A49" w:rsidRPr="00395879" w:rsidRDefault="00450A49" w:rsidP="00D74BE2">
            <w:pPr>
              <w:pStyle w:val="NormalWeb"/>
              <w:ind w:left="113" w:right="113"/>
              <w:rPr>
                <w:rFonts w:eastAsia="HGSMinchoE"/>
                <w:color w:val="000000" w:themeColor="text1"/>
                <w:sz w:val="22"/>
                <w:szCs w:val="22"/>
              </w:rPr>
            </w:pPr>
          </w:p>
        </w:tc>
        <w:tc>
          <w:tcPr>
            <w:tcW w:w="36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6E04773C"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Soapstone</w:t>
            </w:r>
          </w:p>
        </w:tc>
        <w:tc>
          <w:tcPr>
            <w:tcW w:w="360" w:type="dxa"/>
            <w:tcBorders>
              <w:top w:val="single" w:sz="12" w:space="0" w:color="000000" w:themeColor="text1"/>
              <w:left w:val="single" w:sz="2" w:space="0" w:color="AEAAAA" w:themeColor="background2" w:themeShade="BF"/>
              <w:right w:val="single" w:sz="12" w:space="0" w:color="000000" w:themeColor="text1"/>
            </w:tcBorders>
            <w:textDirection w:val="btLr"/>
            <w:vAlign w:val="center"/>
          </w:tcPr>
          <w:p w14:paraId="3C5F272B"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FEWAFB</w:t>
            </w:r>
          </w:p>
        </w:tc>
        <w:tc>
          <w:tcPr>
            <w:tcW w:w="36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296E6587"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Unnamed Creek</w:t>
            </w:r>
          </w:p>
        </w:tc>
        <w:tc>
          <w:tcPr>
            <w:tcW w:w="36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0B39BBC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Diamond Creek</w:t>
            </w:r>
          </w:p>
        </w:tc>
        <w:tc>
          <w:tcPr>
            <w:tcW w:w="36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40E5323C"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Crow Creek</w:t>
            </w:r>
          </w:p>
        </w:tc>
        <w:tc>
          <w:tcPr>
            <w:tcW w:w="36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33C4EE1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Meadow</w:t>
            </w:r>
          </w:p>
        </w:tc>
        <w:tc>
          <w:tcPr>
            <w:tcW w:w="36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24EE5DA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HQ3</w:t>
            </w:r>
          </w:p>
        </w:tc>
        <w:tc>
          <w:tcPr>
            <w:tcW w:w="360" w:type="dxa"/>
            <w:tcBorders>
              <w:top w:val="single" w:sz="12" w:space="0" w:color="000000" w:themeColor="text1"/>
              <w:left w:val="single" w:sz="2" w:space="0" w:color="AEAAAA" w:themeColor="background2" w:themeShade="BF"/>
              <w:right w:val="single" w:sz="18" w:space="0" w:color="000000"/>
            </w:tcBorders>
            <w:textDirection w:val="btLr"/>
            <w:vAlign w:val="center"/>
          </w:tcPr>
          <w:p w14:paraId="678B3764"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HQ5</w:t>
            </w:r>
          </w:p>
        </w:tc>
        <w:tc>
          <w:tcPr>
            <w:tcW w:w="450" w:type="dxa"/>
            <w:vMerge/>
            <w:tcBorders>
              <w:left w:val="single" w:sz="18" w:space="0" w:color="000000"/>
              <w:right w:val="single" w:sz="12" w:space="0" w:color="000000" w:themeColor="text1"/>
            </w:tcBorders>
            <w:textDirection w:val="btLr"/>
          </w:tcPr>
          <w:p w14:paraId="62D8D6DC" w14:textId="77777777" w:rsidR="00450A49" w:rsidRPr="00411D27" w:rsidRDefault="00450A49" w:rsidP="00D74BE2">
            <w:pPr>
              <w:pStyle w:val="NormalWeb"/>
              <w:ind w:left="113" w:right="113"/>
              <w:rPr>
                <w:rFonts w:eastAsia="HGSMinchoE"/>
                <w:color w:val="000000" w:themeColor="text1"/>
                <w:sz w:val="20"/>
                <w:szCs w:val="20"/>
              </w:rPr>
            </w:pPr>
          </w:p>
        </w:tc>
        <w:tc>
          <w:tcPr>
            <w:tcW w:w="360" w:type="dxa"/>
            <w:tcBorders>
              <w:top w:val="single" w:sz="12" w:space="0" w:color="000000" w:themeColor="text1"/>
              <w:left w:val="single" w:sz="12" w:space="0" w:color="000000" w:themeColor="text1"/>
              <w:right w:val="single" w:sz="2" w:space="0" w:color="AEAAAA" w:themeColor="background2" w:themeShade="BF"/>
            </w:tcBorders>
            <w:textDirection w:val="btLr"/>
          </w:tcPr>
          <w:p w14:paraId="33B7A677" w14:textId="77777777" w:rsidR="00450A49" w:rsidRPr="00411D27" w:rsidRDefault="00450A49" w:rsidP="00D74BE2">
            <w:pPr>
              <w:pStyle w:val="NormalWeb"/>
              <w:jc w:val="center"/>
              <w:rPr>
                <w:rFonts w:eastAsia="HGSMinchoE"/>
                <w:color w:val="000000" w:themeColor="text1"/>
                <w:sz w:val="20"/>
                <w:szCs w:val="20"/>
              </w:rPr>
            </w:pPr>
            <w:r w:rsidRPr="00411D27">
              <w:rPr>
                <w:rFonts w:eastAsia="HGSMinchoE"/>
                <w:color w:val="000000" w:themeColor="text1"/>
                <w:sz w:val="20"/>
                <w:szCs w:val="20"/>
              </w:rPr>
              <w:t>2018-2019</w:t>
            </w:r>
          </w:p>
        </w:tc>
        <w:tc>
          <w:tcPr>
            <w:tcW w:w="360" w:type="dxa"/>
            <w:tcBorders>
              <w:top w:val="single" w:sz="12" w:space="0" w:color="000000" w:themeColor="text1"/>
              <w:left w:val="single" w:sz="2" w:space="0" w:color="AEAAAA" w:themeColor="background2" w:themeShade="BF"/>
              <w:right w:val="single" w:sz="18" w:space="0" w:color="000000" w:themeColor="text1"/>
            </w:tcBorders>
            <w:textDirection w:val="btLr"/>
          </w:tcPr>
          <w:p w14:paraId="2779F654" w14:textId="77777777" w:rsidR="00450A49" w:rsidRPr="00411D27" w:rsidRDefault="00450A49" w:rsidP="00D74BE2">
            <w:pPr>
              <w:pStyle w:val="NormalWeb"/>
              <w:jc w:val="center"/>
              <w:rPr>
                <w:rFonts w:eastAsia="HGSMinchoE"/>
                <w:color w:val="000000" w:themeColor="text1"/>
                <w:sz w:val="20"/>
                <w:szCs w:val="20"/>
              </w:rPr>
            </w:pPr>
            <w:r w:rsidRPr="00411D27">
              <w:rPr>
                <w:rFonts w:eastAsia="HGSMinchoE"/>
                <w:color w:val="000000" w:themeColor="text1"/>
                <w:sz w:val="20"/>
                <w:szCs w:val="20"/>
              </w:rPr>
              <w:t>2019-2020</w:t>
            </w:r>
          </w:p>
        </w:tc>
        <w:tc>
          <w:tcPr>
            <w:tcW w:w="450" w:type="dxa"/>
            <w:vMerge/>
            <w:tcBorders>
              <w:left w:val="single" w:sz="18" w:space="0" w:color="000000" w:themeColor="text1"/>
              <w:right w:val="single" w:sz="12" w:space="0" w:color="000000" w:themeColor="text1"/>
            </w:tcBorders>
            <w:textDirection w:val="btLr"/>
          </w:tcPr>
          <w:p w14:paraId="0CEBB8DB" w14:textId="77777777" w:rsidR="00450A49" w:rsidRPr="00395879" w:rsidRDefault="00450A49" w:rsidP="00D74BE2">
            <w:pPr>
              <w:pStyle w:val="NormalWeb"/>
              <w:ind w:left="113" w:right="113"/>
              <w:rPr>
                <w:rFonts w:eastAsia="HGSMinchoE"/>
                <w:color w:val="000000" w:themeColor="text1"/>
                <w:sz w:val="22"/>
                <w:szCs w:val="22"/>
              </w:rPr>
            </w:pPr>
          </w:p>
        </w:tc>
        <w:tc>
          <w:tcPr>
            <w:tcW w:w="450" w:type="dxa"/>
            <w:vMerge/>
            <w:tcBorders>
              <w:left w:val="single" w:sz="12" w:space="0" w:color="000000" w:themeColor="text1"/>
              <w:right w:val="single" w:sz="18" w:space="0" w:color="000000"/>
            </w:tcBorders>
            <w:textDirection w:val="btLr"/>
          </w:tcPr>
          <w:p w14:paraId="4A1F4FD9" w14:textId="77777777" w:rsidR="00450A49" w:rsidRPr="00395879" w:rsidRDefault="00450A49" w:rsidP="00D74BE2">
            <w:pPr>
              <w:pStyle w:val="NormalWeb"/>
              <w:ind w:left="113" w:right="113"/>
              <w:rPr>
                <w:rFonts w:eastAsia="HGSMinchoE"/>
                <w:color w:val="000000" w:themeColor="text1"/>
                <w:sz w:val="22"/>
                <w:szCs w:val="22"/>
              </w:rPr>
            </w:pPr>
          </w:p>
        </w:tc>
        <w:tc>
          <w:tcPr>
            <w:tcW w:w="450" w:type="dxa"/>
            <w:vMerge/>
            <w:tcBorders>
              <w:left w:val="single" w:sz="12" w:space="0" w:color="000000" w:themeColor="text1"/>
              <w:right w:val="single" w:sz="18" w:space="0" w:color="000000" w:themeColor="text1"/>
            </w:tcBorders>
            <w:textDirection w:val="btLr"/>
          </w:tcPr>
          <w:p w14:paraId="2E470AB4" w14:textId="77777777" w:rsidR="00450A49" w:rsidRPr="00395879" w:rsidRDefault="00450A49" w:rsidP="00D74BE2">
            <w:pPr>
              <w:pStyle w:val="NormalWeb"/>
              <w:ind w:left="113" w:right="113"/>
              <w:rPr>
                <w:rFonts w:eastAsia="HGSMinchoE"/>
                <w:color w:val="000000" w:themeColor="text1"/>
                <w:sz w:val="22"/>
                <w:szCs w:val="22"/>
              </w:rPr>
            </w:pPr>
          </w:p>
        </w:tc>
        <w:tc>
          <w:tcPr>
            <w:tcW w:w="1260" w:type="dxa"/>
            <w:vMerge/>
            <w:tcBorders>
              <w:left w:val="single" w:sz="18" w:space="0" w:color="000000" w:themeColor="text1"/>
              <w:right w:val="single" w:sz="18" w:space="0" w:color="000000"/>
            </w:tcBorders>
            <w:textDirection w:val="btLr"/>
          </w:tcPr>
          <w:p w14:paraId="7672712E" w14:textId="77777777" w:rsidR="00450A49" w:rsidRPr="00395879" w:rsidRDefault="00450A49" w:rsidP="00D74BE2">
            <w:pPr>
              <w:pStyle w:val="NormalWeb"/>
              <w:ind w:left="113" w:right="113"/>
              <w:rPr>
                <w:rFonts w:eastAsia="HGSMinchoE"/>
                <w:color w:val="000000" w:themeColor="text1"/>
                <w:sz w:val="22"/>
                <w:szCs w:val="22"/>
              </w:rPr>
            </w:pPr>
          </w:p>
        </w:tc>
        <w:tc>
          <w:tcPr>
            <w:tcW w:w="720" w:type="dxa"/>
            <w:vMerge/>
            <w:tcBorders>
              <w:left w:val="single" w:sz="18" w:space="0" w:color="000000" w:themeColor="text1"/>
              <w:right w:val="single" w:sz="18" w:space="0" w:color="000000"/>
            </w:tcBorders>
            <w:textDirection w:val="btLr"/>
          </w:tcPr>
          <w:p w14:paraId="1F6CF117" w14:textId="77777777" w:rsidR="00450A49" w:rsidRPr="00395879" w:rsidRDefault="00450A49" w:rsidP="00D74BE2">
            <w:pPr>
              <w:pStyle w:val="NormalWeb"/>
              <w:ind w:left="113" w:right="113"/>
              <w:rPr>
                <w:rFonts w:eastAsia="HGSMinchoE"/>
                <w:color w:val="000000" w:themeColor="text1"/>
                <w:sz w:val="22"/>
                <w:szCs w:val="22"/>
              </w:rPr>
            </w:pPr>
          </w:p>
        </w:tc>
      </w:tr>
      <w:tr w:rsidR="00450A49" w:rsidRPr="00395879" w14:paraId="3738444B" w14:textId="77777777" w:rsidTr="00D74BE2">
        <w:tc>
          <w:tcPr>
            <w:tcW w:w="630" w:type="dxa"/>
            <w:tcBorders>
              <w:top w:val="single" w:sz="18" w:space="0" w:color="000000"/>
              <w:left w:val="single" w:sz="18" w:space="0" w:color="000000"/>
              <w:bottom w:val="single" w:sz="8" w:space="0" w:color="000000"/>
              <w:right w:val="single" w:sz="18" w:space="0" w:color="000000"/>
            </w:tcBorders>
          </w:tcPr>
          <w:p w14:paraId="4387B2CE"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A</w:t>
            </w:r>
          </w:p>
        </w:tc>
        <w:tc>
          <w:tcPr>
            <w:tcW w:w="360" w:type="dxa"/>
            <w:tcBorders>
              <w:top w:val="single" w:sz="18" w:space="0" w:color="000000" w:themeColor="text1"/>
              <w:left w:val="single" w:sz="18" w:space="0" w:color="000000"/>
              <w:bottom w:val="single" w:sz="8" w:space="0" w:color="000000"/>
              <w:right w:val="single" w:sz="8" w:space="0" w:color="000000"/>
            </w:tcBorders>
          </w:tcPr>
          <w:p w14:paraId="47E352F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18" w:space="0" w:color="000000" w:themeColor="text1"/>
              <w:left w:val="single" w:sz="8" w:space="0" w:color="000000"/>
              <w:bottom w:val="single" w:sz="8" w:space="0" w:color="000000"/>
              <w:right w:val="single" w:sz="18" w:space="0" w:color="000000"/>
            </w:tcBorders>
          </w:tcPr>
          <w:p w14:paraId="76F1B3A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3186E2A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EB2867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12" w:space="0" w:color="000000" w:themeColor="text1"/>
            </w:tcBorders>
          </w:tcPr>
          <w:p w14:paraId="41DDAD5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704EE2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1D5BEAE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6A4FA61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0CA48C9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1FB23F7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18" w:space="0" w:color="000000"/>
            </w:tcBorders>
          </w:tcPr>
          <w:p w14:paraId="1439A46E"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0265CE8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6B0DE3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18" w:space="0" w:color="000000" w:themeColor="text1"/>
            </w:tcBorders>
          </w:tcPr>
          <w:p w14:paraId="1A49E7A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themeColor="text1"/>
              <w:bottom w:val="single" w:sz="8" w:space="0" w:color="000000"/>
              <w:right w:val="single" w:sz="12" w:space="0" w:color="000000" w:themeColor="text1"/>
            </w:tcBorders>
          </w:tcPr>
          <w:p w14:paraId="204801C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0579E80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30C7CE48"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top w:val="single" w:sz="18" w:space="0" w:color="000000"/>
              <w:left w:val="single" w:sz="12" w:space="0" w:color="000000" w:themeColor="text1"/>
              <w:bottom w:val="single" w:sz="8" w:space="0" w:color="000000"/>
              <w:right w:val="single" w:sz="18" w:space="0" w:color="000000"/>
            </w:tcBorders>
          </w:tcPr>
          <w:p w14:paraId="7C41634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0.41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(0.408, 0.411)</w:t>
            </w:r>
          </w:p>
        </w:tc>
        <w:tc>
          <w:tcPr>
            <w:tcW w:w="720" w:type="dxa"/>
            <w:tcBorders>
              <w:top w:val="single" w:sz="18" w:space="0" w:color="000000"/>
              <w:left w:val="single" w:sz="12" w:space="0" w:color="000000" w:themeColor="text1"/>
              <w:bottom w:val="single" w:sz="8" w:space="0" w:color="000000"/>
              <w:right w:val="single" w:sz="18" w:space="0" w:color="000000"/>
            </w:tcBorders>
          </w:tcPr>
          <w:p w14:paraId="738B047E"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85790AF" w14:textId="77777777" w:rsidTr="00D74BE2">
        <w:tc>
          <w:tcPr>
            <w:tcW w:w="630" w:type="dxa"/>
            <w:tcBorders>
              <w:top w:val="single" w:sz="8" w:space="0" w:color="000000"/>
              <w:left w:val="single" w:sz="18" w:space="0" w:color="000000"/>
              <w:right w:val="single" w:sz="18" w:space="0" w:color="000000"/>
            </w:tcBorders>
          </w:tcPr>
          <w:p w14:paraId="04A0C818"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B</w:t>
            </w:r>
          </w:p>
        </w:tc>
        <w:tc>
          <w:tcPr>
            <w:tcW w:w="360" w:type="dxa"/>
            <w:tcBorders>
              <w:top w:val="single" w:sz="8" w:space="0" w:color="000000"/>
              <w:left w:val="single" w:sz="18" w:space="0" w:color="000000"/>
              <w:right w:val="single" w:sz="8" w:space="0" w:color="000000"/>
            </w:tcBorders>
          </w:tcPr>
          <w:p w14:paraId="2728E1D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8" w:space="0" w:color="000000"/>
              <w:right w:val="single" w:sz="18" w:space="0" w:color="000000"/>
            </w:tcBorders>
          </w:tcPr>
          <w:p w14:paraId="666CB38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top w:val="single" w:sz="8" w:space="0" w:color="000000"/>
              <w:left w:val="single" w:sz="18" w:space="0" w:color="000000"/>
              <w:right w:val="single" w:sz="12" w:space="0" w:color="000000" w:themeColor="text1"/>
            </w:tcBorders>
          </w:tcPr>
          <w:p w14:paraId="732FDAE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8" w:space="0" w:color="000000"/>
              <w:left w:val="single" w:sz="12" w:space="0" w:color="000000" w:themeColor="text1"/>
              <w:right w:val="single" w:sz="2" w:space="0" w:color="AEAAAA" w:themeColor="background2" w:themeShade="BF"/>
            </w:tcBorders>
          </w:tcPr>
          <w:p w14:paraId="0DEE4EE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12" w:space="0" w:color="000000" w:themeColor="text1"/>
            </w:tcBorders>
          </w:tcPr>
          <w:p w14:paraId="0A55AC3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12" w:space="0" w:color="000000" w:themeColor="text1"/>
              <w:right w:val="single" w:sz="2" w:space="0" w:color="AEAAAA" w:themeColor="background2" w:themeShade="BF"/>
            </w:tcBorders>
          </w:tcPr>
          <w:p w14:paraId="13BB971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2" w:space="0" w:color="AEAAAA" w:themeColor="background2" w:themeShade="BF"/>
            </w:tcBorders>
          </w:tcPr>
          <w:p w14:paraId="1EA0052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2" w:space="0" w:color="AEAAAA" w:themeColor="background2" w:themeShade="BF"/>
            </w:tcBorders>
          </w:tcPr>
          <w:p w14:paraId="7BF3758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2" w:space="0" w:color="AEAAAA" w:themeColor="background2" w:themeShade="BF"/>
            </w:tcBorders>
          </w:tcPr>
          <w:p w14:paraId="45F172C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2" w:space="0" w:color="AEAAAA" w:themeColor="background2" w:themeShade="BF"/>
            </w:tcBorders>
          </w:tcPr>
          <w:p w14:paraId="5ACCD39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18" w:space="0" w:color="000000"/>
            </w:tcBorders>
          </w:tcPr>
          <w:p w14:paraId="7EDE5AD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right w:val="single" w:sz="12" w:space="0" w:color="000000" w:themeColor="text1"/>
            </w:tcBorders>
          </w:tcPr>
          <w:p w14:paraId="3350B8A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8" w:space="0" w:color="000000"/>
              <w:left w:val="single" w:sz="12" w:space="0" w:color="000000" w:themeColor="text1"/>
              <w:right w:val="single" w:sz="2" w:space="0" w:color="AEAAAA" w:themeColor="background2" w:themeShade="BF"/>
            </w:tcBorders>
          </w:tcPr>
          <w:p w14:paraId="3AC9064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18" w:space="0" w:color="000000" w:themeColor="text1"/>
            </w:tcBorders>
          </w:tcPr>
          <w:p w14:paraId="4D02DEA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themeColor="text1"/>
              <w:right w:val="single" w:sz="12" w:space="0" w:color="000000" w:themeColor="text1"/>
            </w:tcBorders>
          </w:tcPr>
          <w:p w14:paraId="0224BF75"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56D1989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41D87FDA"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top w:val="single" w:sz="8" w:space="0" w:color="000000"/>
              <w:left w:val="single" w:sz="12" w:space="0" w:color="000000" w:themeColor="text1"/>
              <w:right w:val="single" w:sz="18" w:space="0" w:color="000000"/>
            </w:tcBorders>
          </w:tcPr>
          <w:p w14:paraId="29AD9D3F"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0.39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(0.393, 0.395)</w:t>
            </w:r>
          </w:p>
        </w:tc>
        <w:tc>
          <w:tcPr>
            <w:tcW w:w="720" w:type="dxa"/>
            <w:tcBorders>
              <w:top w:val="single" w:sz="8" w:space="0" w:color="000000"/>
              <w:left w:val="single" w:sz="12" w:space="0" w:color="000000" w:themeColor="text1"/>
              <w:right w:val="single" w:sz="18" w:space="0" w:color="000000"/>
            </w:tcBorders>
          </w:tcPr>
          <w:p w14:paraId="04764591"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499B7F8" w14:textId="77777777" w:rsidTr="00D74BE2">
        <w:tc>
          <w:tcPr>
            <w:tcW w:w="630" w:type="dxa"/>
            <w:tcBorders>
              <w:left w:val="single" w:sz="18" w:space="0" w:color="000000"/>
              <w:right w:val="single" w:sz="18" w:space="0" w:color="000000"/>
            </w:tcBorders>
          </w:tcPr>
          <w:p w14:paraId="62566E93"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C</w:t>
            </w:r>
          </w:p>
        </w:tc>
        <w:tc>
          <w:tcPr>
            <w:tcW w:w="360" w:type="dxa"/>
            <w:tcBorders>
              <w:left w:val="single" w:sz="18" w:space="0" w:color="000000"/>
              <w:right w:val="single" w:sz="8" w:space="0" w:color="000000"/>
            </w:tcBorders>
          </w:tcPr>
          <w:p w14:paraId="28DCF7E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01F7EC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350AAE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8B8783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7E8C73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82EB49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72D3B0C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E3239B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7DCA63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6E0DD6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B99867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BC84DD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E5FC77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6B73F23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5A1F83F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615804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1E7FC51"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BC769F2"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0.24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(0.241, 0.244)</w:t>
            </w:r>
          </w:p>
        </w:tc>
        <w:tc>
          <w:tcPr>
            <w:tcW w:w="720" w:type="dxa"/>
            <w:tcBorders>
              <w:left w:val="single" w:sz="12" w:space="0" w:color="000000" w:themeColor="text1"/>
              <w:right w:val="single" w:sz="18" w:space="0" w:color="000000"/>
            </w:tcBorders>
          </w:tcPr>
          <w:p w14:paraId="6C383D6F"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1489C69D" w14:textId="77777777" w:rsidTr="00D74BE2">
        <w:tc>
          <w:tcPr>
            <w:tcW w:w="630" w:type="dxa"/>
            <w:tcBorders>
              <w:left w:val="single" w:sz="18" w:space="0" w:color="000000"/>
              <w:right w:val="single" w:sz="18" w:space="0" w:color="000000"/>
            </w:tcBorders>
          </w:tcPr>
          <w:p w14:paraId="58338D9E"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lastRenderedPageBreak/>
              <w:t>D</w:t>
            </w:r>
          </w:p>
        </w:tc>
        <w:tc>
          <w:tcPr>
            <w:tcW w:w="360" w:type="dxa"/>
            <w:tcBorders>
              <w:left w:val="single" w:sz="18" w:space="0" w:color="000000"/>
              <w:right w:val="single" w:sz="8" w:space="0" w:color="000000"/>
            </w:tcBorders>
          </w:tcPr>
          <w:p w14:paraId="4CCCCF2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6833BC1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3C3D60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AF5FD2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9FD35E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20ABBD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0D5BCF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12BE311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56EC48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5775D1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F3A3B1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7F9494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217E037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7A58973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3AD294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514CFE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A796FBE"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7FC0B226"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0.81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(0.814, 0.819)</w:t>
            </w:r>
          </w:p>
        </w:tc>
        <w:tc>
          <w:tcPr>
            <w:tcW w:w="720" w:type="dxa"/>
            <w:tcBorders>
              <w:left w:val="single" w:sz="12" w:space="0" w:color="000000" w:themeColor="text1"/>
              <w:right w:val="single" w:sz="18" w:space="0" w:color="000000"/>
            </w:tcBorders>
          </w:tcPr>
          <w:p w14:paraId="1E7F4BC0"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87718AC" w14:textId="77777777" w:rsidTr="00D74BE2">
        <w:tc>
          <w:tcPr>
            <w:tcW w:w="630" w:type="dxa"/>
            <w:tcBorders>
              <w:left w:val="single" w:sz="18" w:space="0" w:color="000000"/>
              <w:right w:val="single" w:sz="18" w:space="0" w:color="000000"/>
            </w:tcBorders>
          </w:tcPr>
          <w:p w14:paraId="049541EA"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E</w:t>
            </w:r>
          </w:p>
        </w:tc>
        <w:tc>
          <w:tcPr>
            <w:tcW w:w="360" w:type="dxa"/>
            <w:tcBorders>
              <w:left w:val="single" w:sz="18" w:space="0" w:color="000000"/>
              <w:right w:val="single" w:sz="8" w:space="0" w:color="000000"/>
            </w:tcBorders>
          </w:tcPr>
          <w:p w14:paraId="6D0E6F6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DD54BA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AC492E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24448B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0A7439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BD7E16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3EEEA1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F97144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1F1A9C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F0C1EA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F00A5D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E6F35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3512EA7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31BA7DA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5A72302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9AE178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6C90A81"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79A4D1C0"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0.46    </w:t>
            </w:r>
            <w:r>
              <w:rPr>
                <w:rFonts w:eastAsia="HGSMinchoE"/>
                <w:color w:val="000000" w:themeColor="text1"/>
                <w:sz w:val="22"/>
                <w:szCs w:val="22"/>
              </w:rPr>
              <w:t xml:space="preserve">  </w:t>
            </w:r>
            <w:r w:rsidRPr="00411D27">
              <w:rPr>
                <w:rFonts w:eastAsia="HGSMinchoE"/>
                <w:color w:val="000000" w:themeColor="text1"/>
                <w:sz w:val="18"/>
                <w:szCs w:val="18"/>
              </w:rPr>
              <w:t>(0.462, 0.468)</w:t>
            </w:r>
          </w:p>
        </w:tc>
        <w:tc>
          <w:tcPr>
            <w:tcW w:w="720" w:type="dxa"/>
            <w:tcBorders>
              <w:left w:val="single" w:sz="12" w:space="0" w:color="000000" w:themeColor="text1"/>
              <w:right w:val="single" w:sz="18" w:space="0" w:color="000000"/>
            </w:tcBorders>
          </w:tcPr>
          <w:p w14:paraId="430F9941"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085A3FF3" w14:textId="77777777" w:rsidTr="00D74BE2">
        <w:tc>
          <w:tcPr>
            <w:tcW w:w="630" w:type="dxa"/>
            <w:tcBorders>
              <w:left w:val="single" w:sz="18" w:space="0" w:color="000000"/>
              <w:right w:val="single" w:sz="18" w:space="0" w:color="000000"/>
            </w:tcBorders>
          </w:tcPr>
          <w:p w14:paraId="1BFA51F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F</w:t>
            </w:r>
          </w:p>
        </w:tc>
        <w:tc>
          <w:tcPr>
            <w:tcW w:w="360" w:type="dxa"/>
            <w:tcBorders>
              <w:left w:val="single" w:sz="18" w:space="0" w:color="000000"/>
              <w:right w:val="single" w:sz="8" w:space="0" w:color="000000"/>
            </w:tcBorders>
          </w:tcPr>
          <w:p w14:paraId="6D26E4D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825045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F242BF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9B84D1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E7276C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8444B4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F097E9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A4B75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BEF291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107779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683FD2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09483F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7C973B5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50CBB98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298D93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CD0F74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7AB4DC2"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1D30C0E"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0.31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(0.306, 0.310)</w:t>
            </w:r>
          </w:p>
        </w:tc>
        <w:tc>
          <w:tcPr>
            <w:tcW w:w="720" w:type="dxa"/>
            <w:tcBorders>
              <w:left w:val="single" w:sz="12" w:space="0" w:color="000000" w:themeColor="text1"/>
              <w:right w:val="single" w:sz="18" w:space="0" w:color="000000"/>
            </w:tcBorders>
          </w:tcPr>
          <w:p w14:paraId="0882433D"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74E51CC9" w14:textId="77777777" w:rsidTr="00D74BE2">
        <w:tc>
          <w:tcPr>
            <w:tcW w:w="630" w:type="dxa"/>
            <w:tcBorders>
              <w:left w:val="single" w:sz="18" w:space="0" w:color="000000"/>
              <w:right w:val="single" w:sz="18" w:space="0" w:color="000000"/>
            </w:tcBorders>
          </w:tcPr>
          <w:p w14:paraId="0953F704"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G</w:t>
            </w:r>
          </w:p>
        </w:tc>
        <w:tc>
          <w:tcPr>
            <w:tcW w:w="360" w:type="dxa"/>
            <w:tcBorders>
              <w:left w:val="single" w:sz="18" w:space="0" w:color="000000"/>
              <w:right w:val="single" w:sz="8" w:space="0" w:color="000000"/>
            </w:tcBorders>
          </w:tcPr>
          <w:p w14:paraId="75380E9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294DBA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3BA4D1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D2C152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F34EAB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C1E1F8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AABD00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C58D53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6F97B9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C08634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38D5261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423C40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B253CA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6E94BE4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5B540A3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21A011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AA94A10"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4B8B3F2C"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0.19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(0.184, 0.189)</w:t>
            </w:r>
          </w:p>
        </w:tc>
        <w:tc>
          <w:tcPr>
            <w:tcW w:w="720" w:type="dxa"/>
            <w:tcBorders>
              <w:left w:val="single" w:sz="12" w:space="0" w:color="000000" w:themeColor="text1"/>
              <w:right w:val="single" w:sz="18" w:space="0" w:color="000000"/>
            </w:tcBorders>
          </w:tcPr>
          <w:p w14:paraId="38036276"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66685A08" w14:textId="77777777" w:rsidTr="00D74BE2">
        <w:tc>
          <w:tcPr>
            <w:tcW w:w="630" w:type="dxa"/>
            <w:tcBorders>
              <w:left w:val="single" w:sz="18" w:space="0" w:color="000000"/>
              <w:right w:val="single" w:sz="18" w:space="0" w:color="000000"/>
            </w:tcBorders>
          </w:tcPr>
          <w:p w14:paraId="148E35A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H</w:t>
            </w:r>
          </w:p>
        </w:tc>
        <w:tc>
          <w:tcPr>
            <w:tcW w:w="360" w:type="dxa"/>
            <w:tcBorders>
              <w:left w:val="single" w:sz="18" w:space="0" w:color="000000"/>
              <w:right w:val="single" w:sz="8" w:space="0" w:color="000000"/>
            </w:tcBorders>
          </w:tcPr>
          <w:p w14:paraId="2EACC0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46970F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C206B3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2BDAD2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1A9071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C81C73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9C5266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B5E526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C8CC46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F56EAE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47F3B3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00FCB3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8F461E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025C17F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220EF6D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31FF60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C2EB200"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66F9812"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0.29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(0.291, 0.295)</w:t>
            </w:r>
          </w:p>
        </w:tc>
        <w:tc>
          <w:tcPr>
            <w:tcW w:w="720" w:type="dxa"/>
            <w:tcBorders>
              <w:left w:val="single" w:sz="12" w:space="0" w:color="000000" w:themeColor="text1"/>
              <w:right w:val="single" w:sz="18" w:space="0" w:color="000000"/>
            </w:tcBorders>
          </w:tcPr>
          <w:p w14:paraId="1229BDF0"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29ADA68D" w14:textId="77777777" w:rsidTr="00D74BE2">
        <w:tc>
          <w:tcPr>
            <w:tcW w:w="630" w:type="dxa"/>
            <w:tcBorders>
              <w:left w:val="single" w:sz="18" w:space="0" w:color="000000"/>
              <w:right w:val="single" w:sz="18" w:space="0" w:color="000000"/>
            </w:tcBorders>
          </w:tcPr>
          <w:p w14:paraId="4C52C770"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I</w:t>
            </w:r>
          </w:p>
        </w:tc>
        <w:tc>
          <w:tcPr>
            <w:tcW w:w="360" w:type="dxa"/>
            <w:tcBorders>
              <w:left w:val="single" w:sz="18" w:space="0" w:color="000000"/>
              <w:right w:val="single" w:sz="8" w:space="0" w:color="000000"/>
            </w:tcBorders>
          </w:tcPr>
          <w:p w14:paraId="1EB9E80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D084F2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2D184D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AE2786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D3320F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D84EAD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1F311F2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A85031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BD4871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34F28E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EE07AC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4D24CB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2D5624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F27B27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0F6E21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A4D4CA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2835008"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42A20BD0"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0.33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(0.331 0.334)</w:t>
            </w:r>
          </w:p>
        </w:tc>
        <w:tc>
          <w:tcPr>
            <w:tcW w:w="720" w:type="dxa"/>
            <w:tcBorders>
              <w:left w:val="single" w:sz="12" w:space="0" w:color="000000" w:themeColor="text1"/>
              <w:right w:val="single" w:sz="18" w:space="0" w:color="000000"/>
            </w:tcBorders>
          </w:tcPr>
          <w:p w14:paraId="5DABFA49"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28C779FC" w14:textId="77777777" w:rsidTr="00D74BE2">
        <w:tc>
          <w:tcPr>
            <w:tcW w:w="630" w:type="dxa"/>
            <w:tcBorders>
              <w:left w:val="single" w:sz="18" w:space="0" w:color="000000"/>
              <w:right w:val="single" w:sz="18" w:space="0" w:color="000000"/>
            </w:tcBorders>
          </w:tcPr>
          <w:p w14:paraId="05DB358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J</w:t>
            </w:r>
          </w:p>
        </w:tc>
        <w:tc>
          <w:tcPr>
            <w:tcW w:w="360" w:type="dxa"/>
            <w:tcBorders>
              <w:left w:val="single" w:sz="18" w:space="0" w:color="000000"/>
              <w:right w:val="single" w:sz="8" w:space="0" w:color="000000"/>
            </w:tcBorders>
          </w:tcPr>
          <w:p w14:paraId="45A07E3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917C4F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FEC63F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AC4D17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BA4223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2C2427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17DCEC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2272EE4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E2B096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414B3C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9426AD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40A33E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676887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C5E7C7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FD9103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5509A1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033A14B"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7BFA4A5"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0.55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(0.530 0.565)</w:t>
            </w:r>
          </w:p>
        </w:tc>
        <w:tc>
          <w:tcPr>
            <w:tcW w:w="720" w:type="dxa"/>
            <w:tcBorders>
              <w:left w:val="single" w:sz="12" w:space="0" w:color="000000" w:themeColor="text1"/>
              <w:right w:val="single" w:sz="18" w:space="0" w:color="000000"/>
            </w:tcBorders>
          </w:tcPr>
          <w:p w14:paraId="4E1C2515"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081BCD3D" w14:textId="77777777" w:rsidTr="00D74BE2">
        <w:tc>
          <w:tcPr>
            <w:tcW w:w="630" w:type="dxa"/>
            <w:tcBorders>
              <w:left w:val="single" w:sz="18" w:space="0" w:color="000000"/>
              <w:right w:val="single" w:sz="18" w:space="0" w:color="000000"/>
            </w:tcBorders>
          </w:tcPr>
          <w:p w14:paraId="079F8CD8"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K</w:t>
            </w:r>
          </w:p>
        </w:tc>
        <w:tc>
          <w:tcPr>
            <w:tcW w:w="360" w:type="dxa"/>
            <w:tcBorders>
              <w:left w:val="single" w:sz="18" w:space="0" w:color="000000"/>
              <w:right w:val="single" w:sz="8" w:space="0" w:color="000000"/>
            </w:tcBorders>
          </w:tcPr>
          <w:p w14:paraId="0EEAFB3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67B3F7B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E32408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8E2653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051D7A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ECB185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0722A1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6C63FE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6E8F331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6A74C4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B24FFE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57A13C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2756022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99E515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9A42E8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A99F7C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FC2E44F"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2BD76D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0.70     </w:t>
            </w:r>
            <w:r w:rsidRPr="00411D27">
              <w:rPr>
                <w:rFonts w:eastAsia="HGSMinchoE"/>
                <w:color w:val="000000" w:themeColor="text1"/>
                <w:sz w:val="18"/>
                <w:szCs w:val="18"/>
              </w:rPr>
              <w:t>(0.678, 0.721)</w:t>
            </w:r>
          </w:p>
        </w:tc>
        <w:tc>
          <w:tcPr>
            <w:tcW w:w="720" w:type="dxa"/>
            <w:tcBorders>
              <w:left w:val="single" w:sz="12" w:space="0" w:color="000000" w:themeColor="text1"/>
              <w:right w:val="single" w:sz="18" w:space="0" w:color="000000"/>
            </w:tcBorders>
          </w:tcPr>
          <w:p w14:paraId="19846B79"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F6EF269" w14:textId="77777777" w:rsidTr="00D74BE2">
        <w:tc>
          <w:tcPr>
            <w:tcW w:w="630" w:type="dxa"/>
            <w:tcBorders>
              <w:left w:val="single" w:sz="18" w:space="0" w:color="000000"/>
              <w:right w:val="single" w:sz="18" w:space="0" w:color="000000"/>
            </w:tcBorders>
          </w:tcPr>
          <w:p w14:paraId="2D9D4D31"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L</w:t>
            </w:r>
          </w:p>
        </w:tc>
        <w:tc>
          <w:tcPr>
            <w:tcW w:w="360" w:type="dxa"/>
            <w:tcBorders>
              <w:left w:val="single" w:sz="18" w:space="0" w:color="000000"/>
              <w:right w:val="single" w:sz="8" w:space="0" w:color="000000"/>
            </w:tcBorders>
          </w:tcPr>
          <w:p w14:paraId="06A714D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2D72CE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3E1BD7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62E05C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EA14A3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CA8D11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369055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EFDB83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691BE6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042186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2AF475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94FB9B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295037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9B2BF7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9687D9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8A6F4A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803981C"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2CEF38EC"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0.23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(0.210, 0.230)</w:t>
            </w:r>
            <w:r w:rsidRPr="00395879">
              <w:rPr>
                <w:rFonts w:eastAsia="HGSMinchoE"/>
                <w:color w:val="000000" w:themeColor="text1"/>
                <w:sz w:val="22"/>
                <w:szCs w:val="22"/>
              </w:rPr>
              <w:t xml:space="preserve"> </w:t>
            </w:r>
          </w:p>
        </w:tc>
        <w:tc>
          <w:tcPr>
            <w:tcW w:w="720" w:type="dxa"/>
            <w:tcBorders>
              <w:left w:val="single" w:sz="12" w:space="0" w:color="000000" w:themeColor="text1"/>
              <w:right w:val="single" w:sz="18" w:space="0" w:color="000000"/>
            </w:tcBorders>
          </w:tcPr>
          <w:p w14:paraId="70678BE6"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804DAC9" w14:textId="77777777" w:rsidTr="00D74BE2">
        <w:tc>
          <w:tcPr>
            <w:tcW w:w="630" w:type="dxa"/>
            <w:tcBorders>
              <w:left w:val="single" w:sz="18" w:space="0" w:color="000000"/>
              <w:right w:val="single" w:sz="18" w:space="0" w:color="000000"/>
            </w:tcBorders>
          </w:tcPr>
          <w:p w14:paraId="6E5689B9"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M</w:t>
            </w:r>
          </w:p>
        </w:tc>
        <w:tc>
          <w:tcPr>
            <w:tcW w:w="360" w:type="dxa"/>
            <w:tcBorders>
              <w:left w:val="single" w:sz="18" w:space="0" w:color="000000"/>
              <w:right w:val="single" w:sz="8" w:space="0" w:color="000000"/>
            </w:tcBorders>
          </w:tcPr>
          <w:p w14:paraId="08EE676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D01DB8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B4F55E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D9E8D6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6A37B2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8B7DBF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07D411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03693A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8CA488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34D2FF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0337120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2BB0F1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D40192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F1154D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6EFAE7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405E63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15DF95D"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D344AC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-0.18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(-0.16 -0.20)</w:t>
            </w:r>
          </w:p>
        </w:tc>
        <w:tc>
          <w:tcPr>
            <w:tcW w:w="720" w:type="dxa"/>
            <w:tcBorders>
              <w:left w:val="single" w:sz="12" w:space="0" w:color="000000" w:themeColor="text1"/>
              <w:right w:val="single" w:sz="18" w:space="0" w:color="000000"/>
            </w:tcBorders>
          </w:tcPr>
          <w:p w14:paraId="0A24FCDA"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15046FED" w14:textId="77777777" w:rsidTr="00D74BE2">
        <w:tc>
          <w:tcPr>
            <w:tcW w:w="630" w:type="dxa"/>
            <w:tcBorders>
              <w:left w:val="single" w:sz="18" w:space="0" w:color="000000"/>
              <w:right w:val="single" w:sz="18" w:space="0" w:color="000000"/>
            </w:tcBorders>
          </w:tcPr>
          <w:p w14:paraId="7D4A359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N</w:t>
            </w:r>
          </w:p>
        </w:tc>
        <w:tc>
          <w:tcPr>
            <w:tcW w:w="360" w:type="dxa"/>
            <w:tcBorders>
              <w:left w:val="single" w:sz="18" w:space="0" w:color="000000"/>
              <w:right w:val="single" w:sz="8" w:space="0" w:color="000000"/>
            </w:tcBorders>
          </w:tcPr>
          <w:p w14:paraId="22F6191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62DC60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5139EC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CBE87F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472E28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668253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467705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F4E760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012C70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B6950E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25151B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4B96C6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880231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6CF701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F0B0AE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5AEFC5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5137212"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260BD590"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0.31     </w:t>
            </w:r>
            <w:r w:rsidRPr="00411D27">
              <w:rPr>
                <w:rFonts w:eastAsia="HGSMinchoE"/>
                <w:color w:val="000000" w:themeColor="text1"/>
                <w:sz w:val="18"/>
                <w:szCs w:val="18"/>
              </w:rPr>
              <w:t>(0.309, 0.313)</w:t>
            </w:r>
          </w:p>
        </w:tc>
        <w:tc>
          <w:tcPr>
            <w:tcW w:w="720" w:type="dxa"/>
            <w:tcBorders>
              <w:left w:val="single" w:sz="12" w:space="0" w:color="000000" w:themeColor="text1"/>
              <w:right w:val="single" w:sz="18" w:space="0" w:color="000000"/>
            </w:tcBorders>
          </w:tcPr>
          <w:p w14:paraId="2F0CB18E"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36F9109A" w14:textId="77777777" w:rsidTr="00D74BE2">
        <w:tc>
          <w:tcPr>
            <w:tcW w:w="630" w:type="dxa"/>
            <w:tcBorders>
              <w:left w:val="single" w:sz="18" w:space="0" w:color="000000"/>
              <w:right w:val="single" w:sz="18" w:space="0" w:color="000000"/>
            </w:tcBorders>
          </w:tcPr>
          <w:p w14:paraId="66469AAE"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O</w:t>
            </w:r>
          </w:p>
        </w:tc>
        <w:tc>
          <w:tcPr>
            <w:tcW w:w="360" w:type="dxa"/>
            <w:tcBorders>
              <w:left w:val="single" w:sz="18" w:space="0" w:color="000000"/>
              <w:right w:val="single" w:sz="8" w:space="0" w:color="000000"/>
            </w:tcBorders>
          </w:tcPr>
          <w:p w14:paraId="3DA8FF4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1755CFC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211241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6A1760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2B3A63F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A1A61E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12A02C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3BA5B4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F4D50D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42441D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DFDE1B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FC90DD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7F23A05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14CB9AF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20438A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6FEAA2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2D340B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1260" w:type="dxa"/>
            <w:tcBorders>
              <w:left w:val="single" w:sz="12" w:space="0" w:color="000000" w:themeColor="text1"/>
              <w:right w:val="single" w:sz="18" w:space="0" w:color="000000"/>
            </w:tcBorders>
          </w:tcPr>
          <w:p w14:paraId="7D666114"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c>
          <w:tcPr>
            <w:tcW w:w="720" w:type="dxa"/>
            <w:tcBorders>
              <w:left w:val="single" w:sz="12" w:space="0" w:color="000000" w:themeColor="text1"/>
              <w:right w:val="single" w:sz="18" w:space="0" w:color="000000"/>
            </w:tcBorders>
          </w:tcPr>
          <w:p w14:paraId="5BA729BD"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0.04</w:t>
            </w:r>
          </w:p>
        </w:tc>
      </w:tr>
      <w:tr w:rsidR="00450A49" w:rsidRPr="00395879" w14:paraId="66704A7C" w14:textId="77777777" w:rsidTr="00D74BE2">
        <w:tc>
          <w:tcPr>
            <w:tcW w:w="630" w:type="dxa"/>
            <w:tcBorders>
              <w:left w:val="single" w:sz="18" w:space="0" w:color="000000"/>
              <w:right w:val="single" w:sz="18" w:space="0" w:color="000000"/>
            </w:tcBorders>
          </w:tcPr>
          <w:p w14:paraId="0BFEAEBA"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 xml:space="preserve">P </w:t>
            </w:r>
            <w:r w:rsidRPr="00411D27">
              <w:rPr>
                <w:rFonts w:eastAsia="HGSMinchoE"/>
                <w:color w:val="000000" w:themeColor="text1"/>
                <w:sz w:val="18"/>
                <w:szCs w:val="18"/>
              </w:rPr>
              <w:t>(hot</w:t>
            </w:r>
            <w:r>
              <w:rPr>
                <w:rFonts w:eastAsia="HGSMinchoE"/>
                <w:color w:val="000000" w:themeColor="text1"/>
                <w:sz w:val="18"/>
                <w:szCs w:val="18"/>
              </w:rPr>
              <w:t>/</w:t>
            </w:r>
            <w:r w:rsidRPr="00411D27">
              <w:rPr>
                <w:rFonts w:eastAsia="HGSMinchoE"/>
                <w:color w:val="000000" w:themeColor="text1"/>
                <w:sz w:val="18"/>
                <w:szCs w:val="18"/>
              </w:rPr>
              <w:t>dry)</w:t>
            </w:r>
          </w:p>
        </w:tc>
        <w:tc>
          <w:tcPr>
            <w:tcW w:w="360" w:type="dxa"/>
            <w:tcBorders>
              <w:left w:val="single" w:sz="18" w:space="0" w:color="000000"/>
              <w:right w:val="single" w:sz="8" w:space="0" w:color="000000"/>
            </w:tcBorders>
          </w:tcPr>
          <w:p w14:paraId="4481D3B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3A2D0A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82BFFC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B0005A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AE4BBE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740901D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898005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A524A8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202AC2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B9274F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C9CD3D5"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777788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D56DCC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861B2E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71979F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76828E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1F7218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1260" w:type="dxa"/>
            <w:tcBorders>
              <w:left w:val="single" w:sz="12" w:space="0" w:color="000000" w:themeColor="text1"/>
              <w:right w:val="single" w:sz="18" w:space="0" w:color="000000"/>
            </w:tcBorders>
          </w:tcPr>
          <w:p w14:paraId="20CD330C"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c>
          <w:tcPr>
            <w:tcW w:w="720" w:type="dxa"/>
            <w:tcBorders>
              <w:left w:val="single" w:sz="12" w:space="0" w:color="000000" w:themeColor="text1"/>
              <w:right w:val="single" w:sz="18" w:space="0" w:color="000000"/>
            </w:tcBorders>
          </w:tcPr>
          <w:p w14:paraId="7B2C1D6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0.02</w:t>
            </w:r>
          </w:p>
        </w:tc>
      </w:tr>
      <w:tr w:rsidR="00450A49" w:rsidRPr="00395879" w14:paraId="68DF4F91" w14:textId="77777777" w:rsidTr="00D74BE2">
        <w:tc>
          <w:tcPr>
            <w:tcW w:w="630" w:type="dxa"/>
            <w:tcBorders>
              <w:left w:val="single" w:sz="18" w:space="0" w:color="000000"/>
              <w:right w:val="single" w:sz="18" w:space="0" w:color="000000"/>
            </w:tcBorders>
          </w:tcPr>
          <w:p w14:paraId="7CE66A0F"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Q</w:t>
            </w:r>
          </w:p>
        </w:tc>
        <w:tc>
          <w:tcPr>
            <w:tcW w:w="360" w:type="dxa"/>
            <w:tcBorders>
              <w:left w:val="single" w:sz="18" w:space="0" w:color="000000"/>
              <w:right w:val="single" w:sz="8" w:space="0" w:color="000000"/>
            </w:tcBorders>
          </w:tcPr>
          <w:p w14:paraId="2E7FBAA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529A18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9262BE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86F2CF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4C1BBBD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F0314D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442F96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866F64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103DAE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BF20EE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032DA8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9F7789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15DA0E2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95CB03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3E1694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19918CB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FCFDE8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1260" w:type="dxa"/>
            <w:tcBorders>
              <w:left w:val="single" w:sz="12" w:space="0" w:color="000000" w:themeColor="text1"/>
              <w:right w:val="single" w:sz="18" w:space="0" w:color="000000"/>
            </w:tcBorders>
          </w:tcPr>
          <w:p w14:paraId="64980A80"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c>
          <w:tcPr>
            <w:tcW w:w="720" w:type="dxa"/>
            <w:tcBorders>
              <w:left w:val="single" w:sz="12" w:space="0" w:color="000000" w:themeColor="text1"/>
              <w:right w:val="single" w:sz="18" w:space="0" w:color="000000"/>
            </w:tcBorders>
          </w:tcPr>
          <w:p w14:paraId="37D7B248"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0.0</w:t>
            </w:r>
            <w:r>
              <w:rPr>
                <w:rFonts w:eastAsia="HGSMinchoE"/>
                <w:color w:val="000000" w:themeColor="text1"/>
                <w:sz w:val="22"/>
                <w:szCs w:val="22"/>
              </w:rPr>
              <w:t>7</w:t>
            </w:r>
          </w:p>
        </w:tc>
      </w:tr>
      <w:tr w:rsidR="00450A49" w:rsidRPr="00395879" w14:paraId="3EE719D2" w14:textId="77777777" w:rsidTr="00D74BE2">
        <w:tc>
          <w:tcPr>
            <w:tcW w:w="630" w:type="dxa"/>
            <w:tcBorders>
              <w:left w:val="single" w:sz="18" w:space="0" w:color="000000"/>
              <w:right w:val="single" w:sz="18" w:space="0" w:color="000000"/>
            </w:tcBorders>
          </w:tcPr>
          <w:p w14:paraId="59FC5E97" w14:textId="77777777" w:rsidR="00450A49" w:rsidRPr="00395879" w:rsidRDefault="00450A49" w:rsidP="00D74BE2">
            <w:pPr>
              <w:pStyle w:val="NormalWeb"/>
              <w:rPr>
                <w:rFonts w:eastAsia="HGSMinchoE"/>
                <w:color w:val="000000" w:themeColor="text1"/>
                <w:sz w:val="22"/>
                <w:szCs w:val="22"/>
              </w:rPr>
            </w:pPr>
            <w:r w:rsidRPr="00411D27">
              <w:rPr>
                <w:rFonts w:eastAsia="HGSMinchoE"/>
                <w:color w:val="000000" w:themeColor="text1"/>
                <w:sz w:val="20"/>
                <w:szCs w:val="20"/>
              </w:rPr>
              <w:t>R</w:t>
            </w:r>
            <w:r w:rsidRPr="00395879">
              <w:rPr>
                <w:rFonts w:eastAsia="HGSMinchoE"/>
                <w:color w:val="000000" w:themeColor="text1"/>
                <w:sz w:val="22"/>
                <w:szCs w:val="22"/>
              </w:rPr>
              <w:t xml:space="preserve"> </w:t>
            </w:r>
            <w:r w:rsidRPr="00411D27">
              <w:rPr>
                <w:rFonts w:eastAsia="HGSMinchoE"/>
                <w:color w:val="000000" w:themeColor="text1"/>
                <w:sz w:val="18"/>
                <w:szCs w:val="18"/>
              </w:rPr>
              <w:t>(hot</w:t>
            </w:r>
            <w:r>
              <w:rPr>
                <w:rFonts w:eastAsia="HGSMinchoE"/>
                <w:color w:val="000000" w:themeColor="text1"/>
                <w:sz w:val="18"/>
                <w:szCs w:val="18"/>
              </w:rPr>
              <w:t>/</w:t>
            </w:r>
            <w:r w:rsidRPr="00411D27">
              <w:rPr>
                <w:rFonts w:eastAsia="HGSMinchoE"/>
                <w:color w:val="000000" w:themeColor="text1"/>
                <w:sz w:val="18"/>
                <w:szCs w:val="18"/>
              </w:rPr>
              <w:t xml:space="preserve"> dry)</w:t>
            </w:r>
          </w:p>
        </w:tc>
        <w:tc>
          <w:tcPr>
            <w:tcW w:w="360" w:type="dxa"/>
            <w:tcBorders>
              <w:left w:val="single" w:sz="18" w:space="0" w:color="000000"/>
              <w:right w:val="single" w:sz="8" w:space="0" w:color="000000"/>
            </w:tcBorders>
          </w:tcPr>
          <w:p w14:paraId="41C5BCC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9E88DD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9963FA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413EB1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B2F996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C1C73B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A8FD38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AB3982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6E1A28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92601D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2228B2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241010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12D23E2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6A7DE6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10C892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8F776F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89B9F9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1260" w:type="dxa"/>
            <w:tcBorders>
              <w:left w:val="single" w:sz="12" w:space="0" w:color="000000" w:themeColor="text1"/>
              <w:right w:val="single" w:sz="18" w:space="0" w:color="000000"/>
            </w:tcBorders>
          </w:tcPr>
          <w:p w14:paraId="454771F3"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c>
          <w:tcPr>
            <w:tcW w:w="720" w:type="dxa"/>
            <w:tcBorders>
              <w:left w:val="single" w:sz="12" w:space="0" w:color="000000" w:themeColor="text1"/>
              <w:right w:val="single" w:sz="18" w:space="0" w:color="000000"/>
            </w:tcBorders>
          </w:tcPr>
          <w:p w14:paraId="60EB534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0.0</w:t>
            </w:r>
            <w:r>
              <w:rPr>
                <w:rFonts w:eastAsia="HGSMinchoE"/>
                <w:color w:val="000000" w:themeColor="text1"/>
                <w:sz w:val="22"/>
                <w:szCs w:val="22"/>
              </w:rPr>
              <w:t>7</w:t>
            </w:r>
          </w:p>
        </w:tc>
      </w:tr>
      <w:tr w:rsidR="00450A49" w:rsidRPr="00395879" w14:paraId="3B20BA3F" w14:textId="77777777" w:rsidTr="00D74BE2">
        <w:tc>
          <w:tcPr>
            <w:tcW w:w="630" w:type="dxa"/>
            <w:tcBorders>
              <w:left w:val="single" w:sz="18" w:space="0" w:color="000000"/>
              <w:right w:val="single" w:sz="18" w:space="0" w:color="000000"/>
            </w:tcBorders>
          </w:tcPr>
          <w:p w14:paraId="42D6624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S</w:t>
            </w:r>
          </w:p>
        </w:tc>
        <w:tc>
          <w:tcPr>
            <w:tcW w:w="360" w:type="dxa"/>
            <w:tcBorders>
              <w:left w:val="single" w:sz="18" w:space="0" w:color="000000"/>
              <w:right w:val="single" w:sz="8" w:space="0" w:color="000000"/>
            </w:tcBorders>
          </w:tcPr>
          <w:p w14:paraId="3584571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10CFFE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AC1AA1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2A618A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90CADA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66E206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9DEEA1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7C81F5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3665CE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90650F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25D387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D4D4A6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192B815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50CFA0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DE0FD8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B6B81E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66374E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08890A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0.33*</w:t>
            </w:r>
          </w:p>
        </w:tc>
        <w:tc>
          <w:tcPr>
            <w:tcW w:w="720" w:type="dxa"/>
            <w:tcBorders>
              <w:left w:val="single" w:sz="12" w:space="0" w:color="000000" w:themeColor="text1"/>
              <w:right w:val="single" w:sz="18" w:space="0" w:color="000000"/>
            </w:tcBorders>
          </w:tcPr>
          <w:p w14:paraId="7222C65C"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B7B8799" w14:textId="77777777" w:rsidTr="00D74BE2">
        <w:tc>
          <w:tcPr>
            <w:tcW w:w="630" w:type="dxa"/>
            <w:tcBorders>
              <w:left w:val="single" w:sz="18" w:space="0" w:color="000000"/>
              <w:right w:val="single" w:sz="18" w:space="0" w:color="000000"/>
            </w:tcBorders>
          </w:tcPr>
          <w:p w14:paraId="7195E26B"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T</w:t>
            </w:r>
          </w:p>
        </w:tc>
        <w:tc>
          <w:tcPr>
            <w:tcW w:w="360" w:type="dxa"/>
            <w:tcBorders>
              <w:left w:val="single" w:sz="18" w:space="0" w:color="000000"/>
              <w:right w:val="single" w:sz="8" w:space="0" w:color="000000"/>
            </w:tcBorders>
          </w:tcPr>
          <w:p w14:paraId="1E1C136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6219CC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2876A6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0091C5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892627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2D970E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ACC8AA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3EF3E5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C37B07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F7A117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8FDA1B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5325B0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7DBCC9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6440ED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BFA86C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5125CD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C813D7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151FB408"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0.39*</w:t>
            </w:r>
          </w:p>
        </w:tc>
        <w:tc>
          <w:tcPr>
            <w:tcW w:w="720" w:type="dxa"/>
            <w:tcBorders>
              <w:left w:val="single" w:sz="12" w:space="0" w:color="000000" w:themeColor="text1"/>
              <w:right w:val="single" w:sz="18" w:space="0" w:color="000000"/>
            </w:tcBorders>
          </w:tcPr>
          <w:p w14:paraId="7C4A5A6A"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FDE5DB3" w14:textId="77777777" w:rsidTr="00D74BE2">
        <w:tc>
          <w:tcPr>
            <w:tcW w:w="630" w:type="dxa"/>
            <w:tcBorders>
              <w:left w:val="single" w:sz="18" w:space="0" w:color="000000"/>
              <w:right w:val="single" w:sz="18" w:space="0" w:color="000000"/>
            </w:tcBorders>
          </w:tcPr>
          <w:p w14:paraId="5D0DD26B"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U</w:t>
            </w:r>
          </w:p>
        </w:tc>
        <w:tc>
          <w:tcPr>
            <w:tcW w:w="360" w:type="dxa"/>
            <w:tcBorders>
              <w:left w:val="single" w:sz="18" w:space="0" w:color="000000"/>
              <w:right w:val="single" w:sz="8" w:space="0" w:color="000000"/>
            </w:tcBorders>
          </w:tcPr>
          <w:p w14:paraId="764E4AE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49C7FA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2DAB7C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BC96CB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95D7CE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28CA4F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8A29BA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1397D4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3586F39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53ACA0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B6666C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280FAF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929A5E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DCF9C9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0B618E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4E53E0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989D85A"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183DE2EB"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0.61*</w:t>
            </w:r>
          </w:p>
        </w:tc>
        <w:tc>
          <w:tcPr>
            <w:tcW w:w="720" w:type="dxa"/>
            <w:tcBorders>
              <w:left w:val="single" w:sz="12" w:space="0" w:color="000000" w:themeColor="text1"/>
              <w:right w:val="single" w:sz="18" w:space="0" w:color="000000"/>
            </w:tcBorders>
          </w:tcPr>
          <w:p w14:paraId="19370C44"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9DF169D" w14:textId="77777777" w:rsidTr="00D74BE2">
        <w:tc>
          <w:tcPr>
            <w:tcW w:w="630" w:type="dxa"/>
            <w:tcBorders>
              <w:left w:val="single" w:sz="18" w:space="0" w:color="000000"/>
              <w:right w:val="single" w:sz="18" w:space="0" w:color="000000"/>
            </w:tcBorders>
          </w:tcPr>
          <w:p w14:paraId="40BD836E"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V</w:t>
            </w:r>
          </w:p>
        </w:tc>
        <w:tc>
          <w:tcPr>
            <w:tcW w:w="360" w:type="dxa"/>
            <w:tcBorders>
              <w:left w:val="single" w:sz="18" w:space="0" w:color="000000"/>
              <w:right w:val="single" w:sz="8" w:space="0" w:color="000000"/>
            </w:tcBorders>
          </w:tcPr>
          <w:p w14:paraId="4167DFE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905DC6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0E4ADA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FE620B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A82699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819D25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1A769E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E96F7B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0AA332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1C79027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960318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A59B48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E70113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C5120D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F663C0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01A143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387425F"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70A2B06"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-0.27*</w:t>
            </w:r>
          </w:p>
        </w:tc>
        <w:tc>
          <w:tcPr>
            <w:tcW w:w="720" w:type="dxa"/>
            <w:tcBorders>
              <w:left w:val="single" w:sz="12" w:space="0" w:color="000000" w:themeColor="text1"/>
              <w:right w:val="single" w:sz="18" w:space="0" w:color="000000"/>
            </w:tcBorders>
          </w:tcPr>
          <w:p w14:paraId="3C217054"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BA3A42A" w14:textId="77777777" w:rsidTr="00D74BE2">
        <w:tc>
          <w:tcPr>
            <w:tcW w:w="630" w:type="dxa"/>
            <w:tcBorders>
              <w:left w:val="single" w:sz="18" w:space="0" w:color="000000"/>
              <w:right w:val="single" w:sz="18" w:space="0" w:color="000000"/>
            </w:tcBorders>
          </w:tcPr>
          <w:p w14:paraId="2E73658B"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W</w:t>
            </w:r>
          </w:p>
        </w:tc>
        <w:tc>
          <w:tcPr>
            <w:tcW w:w="360" w:type="dxa"/>
            <w:tcBorders>
              <w:left w:val="single" w:sz="18" w:space="0" w:color="000000"/>
              <w:right w:val="single" w:sz="8" w:space="0" w:color="000000"/>
            </w:tcBorders>
          </w:tcPr>
          <w:p w14:paraId="1C0B5D8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B103B0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8B4F80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19BC37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FA76CE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50A83C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F6D842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7732AD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83EC10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A7F5A3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62B3FC4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DE291B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7FC72A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AC7E08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0FCEBF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1F6200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1A387615"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0316B190"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-0.21*</w:t>
            </w:r>
          </w:p>
        </w:tc>
        <w:tc>
          <w:tcPr>
            <w:tcW w:w="720" w:type="dxa"/>
            <w:tcBorders>
              <w:left w:val="single" w:sz="12" w:space="0" w:color="000000" w:themeColor="text1"/>
              <w:right w:val="single" w:sz="18" w:space="0" w:color="000000"/>
            </w:tcBorders>
          </w:tcPr>
          <w:p w14:paraId="18A6A20E"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56784522" w14:textId="77777777" w:rsidTr="00D74BE2">
        <w:tc>
          <w:tcPr>
            <w:tcW w:w="630" w:type="dxa"/>
            <w:tcBorders>
              <w:left w:val="single" w:sz="18" w:space="0" w:color="000000"/>
              <w:right w:val="single" w:sz="18" w:space="0" w:color="000000"/>
            </w:tcBorders>
          </w:tcPr>
          <w:p w14:paraId="5FDDCF20"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X</w:t>
            </w:r>
          </w:p>
        </w:tc>
        <w:tc>
          <w:tcPr>
            <w:tcW w:w="360" w:type="dxa"/>
            <w:tcBorders>
              <w:left w:val="single" w:sz="18" w:space="0" w:color="000000"/>
              <w:right w:val="single" w:sz="8" w:space="0" w:color="000000"/>
            </w:tcBorders>
          </w:tcPr>
          <w:p w14:paraId="5B5FDFB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816F25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35C7C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E28D19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EFD83B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EB2F8F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30614B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B567DE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029390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87D6BC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E9D826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BA03E4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D80E3C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4AE6065"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0B4D12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3C832B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24F3C4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4C82B6F"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0.50*</w:t>
            </w:r>
          </w:p>
        </w:tc>
        <w:tc>
          <w:tcPr>
            <w:tcW w:w="720" w:type="dxa"/>
            <w:tcBorders>
              <w:left w:val="single" w:sz="12" w:space="0" w:color="000000" w:themeColor="text1"/>
              <w:right w:val="single" w:sz="18" w:space="0" w:color="000000"/>
            </w:tcBorders>
          </w:tcPr>
          <w:p w14:paraId="6E3731A4"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AAB4690" w14:textId="77777777" w:rsidTr="00D74BE2">
        <w:tc>
          <w:tcPr>
            <w:tcW w:w="630" w:type="dxa"/>
            <w:tcBorders>
              <w:left w:val="single" w:sz="18" w:space="0" w:color="000000"/>
              <w:right w:val="single" w:sz="18" w:space="0" w:color="000000"/>
            </w:tcBorders>
          </w:tcPr>
          <w:p w14:paraId="5F00FA33"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AA</w:t>
            </w:r>
          </w:p>
        </w:tc>
        <w:tc>
          <w:tcPr>
            <w:tcW w:w="360" w:type="dxa"/>
            <w:tcBorders>
              <w:left w:val="single" w:sz="18" w:space="0" w:color="000000"/>
              <w:right w:val="single" w:sz="8" w:space="0" w:color="000000"/>
            </w:tcBorders>
          </w:tcPr>
          <w:p w14:paraId="438B4FF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288987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D4DFB3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3ABAC6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3C02889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83F157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72880A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7DC668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D55228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61B643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3DFBE5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996B45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591ADF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0CB012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F8A9D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C97463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26D618E"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2944598E" w14:textId="77777777" w:rsidR="00450A49" w:rsidRPr="00395879" w:rsidRDefault="00450A49" w:rsidP="00D74BE2">
            <w:pPr>
              <w:pStyle w:val="NormalWeb"/>
              <w:jc w:val="center"/>
              <w:rPr>
                <w:rFonts w:eastAsia="HGSMinchoE"/>
                <w:color w:val="000000" w:themeColor="text1"/>
                <w:sz w:val="22"/>
                <w:szCs w:val="22"/>
              </w:rPr>
            </w:pPr>
            <w:r>
              <w:rPr>
                <w:rFonts w:eastAsia="HGSMinchoE"/>
                <w:color w:val="000000" w:themeColor="text1"/>
                <w:sz w:val="22"/>
                <w:szCs w:val="22"/>
              </w:rPr>
              <w:t xml:space="preserve">0.31     </w:t>
            </w:r>
            <w:r w:rsidRPr="00411D27">
              <w:rPr>
                <w:rFonts w:eastAsia="HGSMinchoE"/>
                <w:color w:val="000000" w:themeColor="text1"/>
                <w:sz w:val="18"/>
                <w:szCs w:val="18"/>
              </w:rPr>
              <w:t>(0.309, 0.312)</w:t>
            </w:r>
          </w:p>
        </w:tc>
        <w:tc>
          <w:tcPr>
            <w:tcW w:w="720" w:type="dxa"/>
            <w:tcBorders>
              <w:left w:val="single" w:sz="12" w:space="0" w:color="000000" w:themeColor="text1"/>
              <w:right w:val="single" w:sz="18" w:space="0" w:color="000000"/>
            </w:tcBorders>
          </w:tcPr>
          <w:p w14:paraId="3E2C75AD"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774BC20" w14:textId="77777777" w:rsidTr="00D74BE2">
        <w:tc>
          <w:tcPr>
            <w:tcW w:w="630" w:type="dxa"/>
            <w:tcBorders>
              <w:left w:val="single" w:sz="18" w:space="0" w:color="000000"/>
              <w:right w:val="single" w:sz="18" w:space="0" w:color="000000"/>
            </w:tcBorders>
          </w:tcPr>
          <w:p w14:paraId="27BEDE8D"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BB</w:t>
            </w:r>
          </w:p>
        </w:tc>
        <w:tc>
          <w:tcPr>
            <w:tcW w:w="360" w:type="dxa"/>
            <w:tcBorders>
              <w:left w:val="single" w:sz="18" w:space="0" w:color="000000"/>
              <w:right w:val="single" w:sz="8" w:space="0" w:color="000000"/>
            </w:tcBorders>
          </w:tcPr>
          <w:p w14:paraId="606C91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01E6EF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A9506D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234A75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904C61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77313D2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703A2E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18CAE6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D0BEB1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D463E8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ADA6A5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82F1BA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2455D9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A23537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84633F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844172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739AC75"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A99C431"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0.458</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(0.457, 0.459)</w:t>
            </w:r>
          </w:p>
        </w:tc>
        <w:tc>
          <w:tcPr>
            <w:tcW w:w="720" w:type="dxa"/>
            <w:tcBorders>
              <w:left w:val="single" w:sz="12" w:space="0" w:color="000000" w:themeColor="text1"/>
              <w:right w:val="single" w:sz="18" w:space="0" w:color="000000"/>
            </w:tcBorders>
          </w:tcPr>
          <w:p w14:paraId="280874C7"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224533C7" w14:textId="77777777" w:rsidTr="00D74BE2">
        <w:tc>
          <w:tcPr>
            <w:tcW w:w="630" w:type="dxa"/>
            <w:tcBorders>
              <w:left w:val="single" w:sz="18" w:space="0" w:color="000000"/>
              <w:right w:val="single" w:sz="18" w:space="0" w:color="000000"/>
            </w:tcBorders>
          </w:tcPr>
          <w:p w14:paraId="0461FC8F"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CC</w:t>
            </w:r>
          </w:p>
        </w:tc>
        <w:tc>
          <w:tcPr>
            <w:tcW w:w="360" w:type="dxa"/>
            <w:tcBorders>
              <w:left w:val="single" w:sz="18" w:space="0" w:color="000000"/>
              <w:right w:val="single" w:sz="8" w:space="0" w:color="000000"/>
            </w:tcBorders>
          </w:tcPr>
          <w:p w14:paraId="3E22A0C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17E362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1EF48E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3CDD47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A5C926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C69439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0D5317A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7C0328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35FF18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2C1017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161E1A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31AE96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A7949E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3A14AD7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65038F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EA69AE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89044DD"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41AEA2AF"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20   </w:t>
            </w:r>
            <w:r w:rsidRPr="00563048">
              <w:rPr>
                <w:rFonts w:eastAsia="HGSMinchoE"/>
                <w:color w:val="000000" w:themeColor="text1"/>
                <w:sz w:val="18"/>
                <w:szCs w:val="18"/>
              </w:rPr>
              <w:t>(0.</w:t>
            </w:r>
            <w:r>
              <w:rPr>
                <w:rFonts w:eastAsia="HGSMinchoE"/>
                <w:color w:val="000000" w:themeColor="text1"/>
                <w:sz w:val="18"/>
                <w:szCs w:val="18"/>
              </w:rPr>
              <w:t>190</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207</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63A3E997"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33E2D699" w14:textId="77777777" w:rsidTr="00D74BE2">
        <w:tc>
          <w:tcPr>
            <w:tcW w:w="630" w:type="dxa"/>
            <w:tcBorders>
              <w:left w:val="single" w:sz="18" w:space="0" w:color="000000"/>
              <w:right w:val="single" w:sz="18" w:space="0" w:color="000000"/>
            </w:tcBorders>
          </w:tcPr>
          <w:p w14:paraId="53E01EAD"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DD</w:t>
            </w:r>
          </w:p>
        </w:tc>
        <w:tc>
          <w:tcPr>
            <w:tcW w:w="360" w:type="dxa"/>
            <w:tcBorders>
              <w:left w:val="single" w:sz="18" w:space="0" w:color="000000"/>
              <w:right w:val="single" w:sz="8" w:space="0" w:color="000000"/>
            </w:tcBorders>
          </w:tcPr>
          <w:p w14:paraId="5805B45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6DE3E06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A2543E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2AB0FC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789C9E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C13264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5B0C56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991655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9EAB16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BA45F4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1BE7529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457A4F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15FC61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523E07B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0BBB2C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BC66EC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694DD79"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48015D99"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1.2</w:t>
            </w:r>
            <w:r>
              <w:rPr>
                <w:rFonts w:eastAsia="HGSMinchoE"/>
                <w:color w:val="000000" w:themeColor="text1"/>
                <w:sz w:val="22"/>
                <w:szCs w:val="22"/>
              </w:rPr>
              <w:t xml:space="preserve">9   </w:t>
            </w:r>
            <w:r w:rsidRPr="00563048">
              <w:rPr>
                <w:rFonts w:eastAsia="HGSMinchoE"/>
                <w:color w:val="000000" w:themeColor="text1"/>
                <w:sz w:val="18"/>
                <w:szCs w:val="18"/>
              </w:rPr>
              <w:t>(</w:t>
            </w:r>
            <w:r>
              <w:rPr>
                <w:rFonts w:eastAsia="HGSMinchoE"/>
                <w:color w:val="000000" w:themeColor="text1"/>
                <w:sz w:val="18"/>
                <w:szCs w:val="18"/>
              </w:rPr>
              <w:t>1.279</w:t>
            </w:r>
            <w:r w:rsidRPr="00563048">
              <w:rPr>
                <w:rFonts w:eastAsia="HGSMinchoE"/>
                <w:color w:val="000000" w:themeColor="text1"/>
                <w:sz w:val="18"/>
                <w:szCs w:val="18"/>
              </w:rPr>
              <w:t>,</w:t>
            </w:r>
            <w:r>
              <w:rPr>
                <w:rFonts w:eastAsia="HGSMinchoE"/>
                <w:color w:val="000000" w:themeColor="text1"/>
                <w:sz w:val="18"/>
                <w:szCs w:val="18"/>
              </w:rPr>
              <w:t xml:space="preserve"> 1.300</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77708D1F"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024CA48A" w14:textId="77777777" w:rsidTr="00D74BE2">
        <w:tc>
          <w:tcPr>
            <w:tcW w:w="630" w:type="dxa"/>
            <w:tcBorders>
              <w:left w:val="single" w:sz="18" w:space="0" w:color="000000"/>
              <w:right w:val="single" w:sz="18" w:space="0" w:color="000000"/>
            </w:tcBorders>
          </w:tcPr>
          <w:p w14:paraId="204F7AA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EE</w:t>
            </w:r>
          </w:p>
        </w:tc>
        <w:tc>
          <w:tcPr>
            <w:tcW w:w="360" w:type="dxa"/>
            <w:tcBorders>
              <w:left w:val="single" w:sz="18" w:space="0" w:color="000000"/>
              <w:right w:val="single" w:sz="8" w:space="0" w:color="000000"/>
            </w:tcBorders>
          </w:tcPr>
          <w:p w14:paraId="2420648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9BD7A6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50E198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8F58AB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ED8277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56EB98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3D12E5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AEB8A7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592B95F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824773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9FFA24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F0130F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BC0764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2185857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A5ED93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3BFCD6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0389C2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06CB379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0.6</w:t>
            </w:r>
            <w:r>
              <w:rPr>
                <w:rFonts w:eastAsia="HGSMinchoE"/>
                <w:color w:val="000000" w:themeColor="text1"/>
                <w:sz w:val="22"/>
                <w:szCs w:val="22"/>
              </w:rPr>
              <w:t xml:space="preserve">8   </w:t>
            </w:r>
            <w:r w:rsidRPr="00563048">
              <w:rPr>
                <w:rFonts w:eastAsia="HGSMinchoE"/>
                <w:color w:val="000000" w:themeColor="text1"/>
                <w:sz w:val="18"/>
                <w:szCs w:val="18"/>
              </w:rPr>
              <w:t>(0.</w:t>
            </w:r>
            <w:r>
              <w:rPr>
                <w:rFonts w:eastAsia="HGSMinchoE"/>
                <w:color w:val="000000" w:themeColor="text1"/>
                <w:sz w:val="18"/>
                <w:szCs w:val="18"/>
              </w:rPr>
              <w:t>660</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697</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3D1FA6BE"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1F38B30B" w14:textId="77777777" w:rsidTr="00D74BE2">
        <w:tc>
          <w:tcPr>
            <w:tcW w:w="630" w:type="dxa"/>
            <w:tcBorders>
              <w:left w:val="single" w:sz="18" w:space="0" w:color="000000"/>
              <w:right w:val="single" w:sz="18" w:space="0" w:color="000000"/>
            </w:tcBorders>
          </w:tcPr>
          <w:p w14:paraId="5150E99F"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FF</w:t>
            </w:r>
          </w:p>
        </w:tc>
        <w:tc>
          <w:tcPr>
            <w:tcW w:w="360" w:type="dxa"/>
            <w:tcBorders>
              <w:left w:val="single" w:sz="18" w:space="0" w:color="000000"/>
              <w:right w:val="single" w:sz="8" w:space="0" w:color="000000"/>
            </w:tcBorders>
          </w:tcPr>
          <w:p w14:paraId="281F480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31B78D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FF83F8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1A8F87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A5043A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43FF20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4359FC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83FAB4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D9B752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1FEB0EC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17A28A1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19844C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992AD5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6B113E9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F9B327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FEB288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B7F09E8"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23ABBF9B"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41   </w:t>
            </w:r>
            <w:r w:rsidRPr="00563048">
              <w:rPr>
                <w:rFonts w:eastAsia="HGSMinchoE"/>
                <w:color w:val="000000" w:themeColor="text1"/>
                <w:sz w:val="18"/>
                <w:szCs w:val="18"/>
              </w:rPr>
              <w:t>(0.</w:t>
            </w:r>
            <w:r>
              <w:rPr>
                <w:rFonts w:eastAsia="HGSMinchoE"/>
                <w:color w:val="000000" w:themeColor="text1"/>
                <w:sz w:val="18"/>
                <w:szCs w:val="18"/>
              </w:rPr>
              <w:t>387</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427</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0EE26B3D"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221A2F8" w14:textId="77777777" w:rsidTr="00D74BE2">
        <w:tc>
          <w:tcPr>
            <w:tcW w:w="630" w:type="dxa"/>
            <w:tcBorders>
              <w:left w:val="single" w:sz="18" w:space="0" w:color="000000"/>
              <w:right w:val="single" w:sz="18" w:space="0" w:color="000000"/>
            </w:tcBorders>
          </w:tcPr>
          <w:p w14:paraId="5D396318"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GG</w:t>
            </w:r>
          </w:p>
        </w:tc>
        <w:tc>
          <w:tcPr>
            <w:tcW w:w="360" w:type="dxa"/>
            <w:tcBorders>
              <w:left w:val="single" w:sz="18" w:space="0" w:color="000000"/>
              <w:right w:val="single" w:sz="8" w:space="0" w:color="000000"/>
            </w:tcBorders>
          </w:tcPr>
          <w:p w14:paraId="7D9B6F1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F021B0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ED49D1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D9A326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F8C46B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383097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50F12A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E4AF37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C6A3C6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29BE2C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2156EDD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EEE2D6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500D3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441830E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F17F42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4FED39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F0803B9"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183AF11"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0.5</w:t>
            </w:r>
            <w:r>
              <w:rPr>
                <w:rFonts w:eastAsia="HGSMinchoE"/>
                <w:color w:val="000000" w:themeColor="text1"/>
                <w:sz w:val="22"/>
                <w:szCs w:val="22"/>
              </w:rPr>
              <w:t xml:space="preserve">6   </w:t>
            </w:r>
            <w:r w:rsidRPr="00563048">
              <w:rPr>
                <w:rFonts w:eastAsia="HGSMinchoE"/>
                <w:color w:val="000000" w:themeColor="text1"/>
                <w:sz w:val="18"/>
                <w:szCs w:val="18"/>
              </w:rPr>
              <w:t>(0.</w:t>
            </w:r>
            <w:r>
              <w:rPr>
                <w:rFonts w:eastAsia="HGSMinchoE"/>
                <w:color w:val="000000" w:themeColor="text1"/>
                <w:sz w:val="18"/>
                <w:szCs w:val="18"/>
              </w:rPr>
              <w:t>549</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569</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23DFF75E"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2A134D00" w14:textId="77777777" w:rsidTr="00D74BE2">
        <w:tc>
          <w:tcPr>
            <w:tcW w:w="630" w:type="dxa"/>
            <w:tcBorders>
              <w:left w:val="single" w:sz="18" w:space="0" w:color="000000"/>
              <w:right w:val="single" w:sz="18" w:space="0" w:color="000000"/>
            </w:tcBorders>
          </w:tcPr>
          <w:p w14:paraId="3F75EB6C"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HH</w:t>
            </w:r>
          </w:p>
        </w:tc>
        <w:tc>
          <w:tcPr>
            <w:tcW w:w="360" w:type="dxa"/>
            <w:tcBorders>
              <w:left w:val="single" w:sz="18" w:space="0" w:color="000000"/>
              <w:right w:val="single" w:sz="8" w:space="0" w:color="000000"/>
            </w:tcBorders>
          </w:tcPr>
          <w:p w14:paraId="29D5543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80CB4D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A82ADC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251163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BCEFA6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E6A006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39DB92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4D5935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082600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4AAA3D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15C4AE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CB1FA4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DC1DE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4174477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4E76A1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CDCD7F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F568ECE"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6B12769"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0.8</w:t>
            </w:r>
            <w:r>
              <w:rPr>
                <w:rFonts w:eastAsia="HGSMinchoE"/>
                <w:color w:val="000000" w:themeColor="text1"/>
                <w:sz w:val="22"/>
                <w:szCs w:val="22"/>
              </w:rPr>
              <w:t xml:space="preserve">9   </w:t>
            </w:r>
            <w:r w:rsidRPr="00563048">
              <w:rPr>
                <w:rFonts w:eastAsia="HGSMinchoE"/>
                <w:color w:val="000000" w:themeColor="text1"/>
                <w:sz w:val="18"/>
                <w:szCs w:val="18"/>
              </w:rPr>
              <w:t>(0.</w:t>
            </w:r>
            <w:r>
              <w:rPr>
                <w:rFonts w:eastAsia="HGSMinchoE"/>
                <w:color w:val="000000" w:themeColor="text1"/>
                <w:sz w:val="18"/>
                <w:szCs w:val="18"/>
              </w:rPr>
              <w:t>884</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899</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6541D849"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CD053BD" w14:textId="77777777" w:rsidTr="00D74BE2">
        <w:tc>
          <w:tcPr>
            <w:tcW w:w="630" w:type="dxa"/>
            <w:tcBorders>
              <w:left w:val="single" w:sz="18" w:space="0" w:color="000000"/>
              <w:right w:val="single" w:sz="18" w:space="0" w:color="000000"/>
            </w:tcBorders>
          </w:tcPr>
          <w:p w14:paraId="417DC2BB"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II</w:t>
            </w:r>
          </w:p>
        </w:tc>
        <w:tc>
          <w:tcPr>
            <w:tcW w:w="360" w:type="dxa"/>
            <w:tcBorders>
              <w:left w:val="single" w:sz="18" w:space="0" w:color="000000"/>
              <w:right w:val="single" w:sz="8" w:space="0" w:color="000000"/>
            </w:tcBorders>
          </w:tcPr>
          <w:p w14:paraId="10A44F9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A8DE43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077F63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52D10E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CEDD92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BB0F98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5F61D3C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705B54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107818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80064F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22D500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F6444F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4B7379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3DD412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A18403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F6464C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97B2E9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05B719EC"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0.2</w:t>
            </w:r>
            <w:r>
              <w:rPr>
                <w:rFonts w:eastAsia="HGSMinchoE"/>
                <w:color w:val="000000" w:themeColor="text1"/>
                <w:sz w:val="22"/>
                <w:szCs w:val="22"/>
              </w:rPr>
              <w:t xml:space="preserve">9   </w:t>
            </w:r>
            <w:r w:rsidRPr="00563048">
              <w:rPr>
                <w:rFonts w:eastAsia="HGSMinchoE"/>
                <w:color w:val="000000" w:themeColor="text1"/>
                <w:sz w:val="18"/>
                <w:szCs w:val="18"/>
              </w:rPr>
              <w:t>(0.285,</w:t>
            </w:r>
            <w:r>
              <w:rPr>
                <w:rFonts w:eastAsia="HGSMinchoE"/>
                <w:color w:val="000000" w:themeColor="text1"/>
                <w:sz w:val="18"/>
                <w:szCs w:val="18"/>
              </w:rPr>
              <w:t xml:space="preserve"> </w:t>
            </w:r>
            <w:r w:rsidRPr="00563048">
              <w:rPr>
                <w:rFonts w:eastAsia="HGSMinchoE"/>
                <w:color w:val="000000" w:themeColor="text1"/>
                <w:sz w:val="18"/>
                <w:szCs w:val="18"/>
              </w:rPr>
              <w:t>0.302)</w:t>
            </w:r>
          </w:p>
        </w:tc>
        <w:tc>
          <w:tcPr>
            <w:tcW w:w="720" w:type="dxa"/>
            <w:tcBorders>
              <w:left w:val="single" w:sz="12" w:space="0" w:color="000000" w:themeColor="text1"/>
              <w:right w:val="single" w:sz="18" w:space="0" w:color="000000"/>
            </w:tcBorders>
          </w:tcPr>
          <w:p w14:paraId="5C6A15B9"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BF3B4A8" w14:textId="77777777" w:rsidTr="00D74BE2">
        <w:tc>
          <w:tcPr>
            <w:tcW w:w="630" w:type="dxa"/>
            <w:tcBorders>
              <w:left w:val="single" w:sz="18" w:space="0" w:color="000000"/>
              <w:right w:val="single" w:sz="18" w:space="0" w:color="000000"/>
            </w:tcBorders>
          </w:tcPr>
          <w:p w14:paraId="0F296B54"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lastRenderedPageBreak/>
              <w:t>JJ</w:t>
            </w:r>
          </w:p>
        </w:tc>
        <w:tc>
          <w:tcPr>
            <w:tcW w:w="360" w:type="dxa"/>
            <w:tcBorders>
              <w:left w:val="single" w:sz="18" w:space="0" w:color="000000"/>
              <w:right w:val="single" w:sz="8" w:space="0" w:color="000000"/>
            </w:tcBorders>
          </w:tcPr>
          <w:p w14:paraId="43073E1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7E7057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4C9E77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0C1D1B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698361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86123C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1A6149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6B71688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8C4FF2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87D66D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DDF20B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3F6174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2E86EC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9EF0D5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2E02AF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CDCF41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38DC0B8"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027381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53    </w:t>
            </w:r>
            <w:r w:rsidRPr="00563048">
              <w:rPr>
                <w:rFonts w:eastAsia="HGSMinchoE"/>
                <w:color w:val="000000" w:themeColor="text1"/>
                <w:sz w:val="18"/>
                <w:szCs w:val="18"/>
              </w:rPr>
              <w:t>(0.</w:t>
            </w:r>
            <w:r>
              <w:rPr>
                <w:rFonts w:eastAsia="HGSMinchoE"/>
                <w:color w:val="000000" w:themeColor="text1"/>
                <w:sz w:val="18"/>
                <w:szCs w:val="18"/>
              </w:rPr>
              <w:t>512</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541</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6B9EF396"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5E46E3B" w14:textId="77777777" w:rsidTr="00D74BE2">
        <w:tc>
          <w:tcPr>
            <w:tcW w:w="630" w:type="dxa"/>
            <w:tcBorders>
              <w:left w:val="single" w:sz="18" w:space="0" w:color="000000"/>
              <w:right w:val="single" w:sz="18" w:space="0" w:color="000000"/>
            </w:tcBorders>
          </w:tcPr>
          <w:p w14:paraId="5F6671E9"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KK</w:t>
            </w:r>
          </w:p>
        </w:tc>
        <w:tc>
          <w:tcPr>
            <w:tcW w:w="360" w:type="dxa"/>
            <w:tcBorders>
              <w:left w:val="single" w:sz="18" w:space="0" w:color="000000"/>
              <w:right w:val="single" w:sz="8" w:space="0" w:color="000000"/>
            </w:tcBorders>
          </w:tcPr>
          <w:p w14:paraId="782CF28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6F60FAA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67DFD1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A633C6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C10847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0B7D08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6C6D2E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496EE2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6D3ADAA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5E42BD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1D73916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59F021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021654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C385FE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9C37FB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C07CA8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1F078B9"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1544472"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52    </w:t>
            </w:r>
            <w:r w:rsidRPr="00563048">
              <w:rPr>
                <w:rFonts w:eastAsia="HGSMinchoE"/>
                <w:color w:val="000000" w:themeColor="text1"/>
                <w:sz w:val="18"/>
                <w:szCs w:val="18"/>
              </w:rPr>
              <w:t>(0.</w:t>
            </w:r>
            <w:r>
              <w:rPr>
                <w:rFonts w:eastAsia="HGSMinchoE"/>
                <w:color w:val="000000" w:themeColor="text1"/>
                <w:sz w:val="18"/>
                <w:szCs w:val="18"/>
              </w:rPr>
              <w:t>501</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532</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78D2B130"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1379450A" w14:textId="77777777" w:rsidTr="00D74BE2">
        <w:tc>
          <w:tcPr>
            <w:tcW w:w="630" w:type="dxa"/>
            <w:tcBorders>
              <w:left w:val="single" w:sz="18" w:space="0" w:color="000000"/>
              <w:right w:val="single" w:sz="18" w:space="0" w:color="000000"/>
            </w:tcBorders>
          </w:tcPr>
          <w:p w14:paraId="6765A79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LL</w:t>
            </w:r>
          </w:p>
        </w:tc>
        <w:tc>
          <w:tcPr>
            <w:tcW w:w="360" w:type="dxa"/>
            <w:tcBorders>
              <w:left w:val="single" w:sz="18" w:space="0" w:color="000000"/>
              <w:right w:val="single" w:sz="8" w:space="0" w:color="000000"/>
            </w:tcBorders>
          </w:tcPr>
          <w:p w14:paraId="41DA799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577386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9BB70C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6E2665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67C448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85D1E9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76A9DB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031EEE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6A77AF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7226695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6A5281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8FFFEC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FDD0A6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DE4040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F7B63C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BAE831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0E8922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53BB8DC"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0.2</w:t>
            </w:r>
            <w:r>
              <w:rPr>
                <w:rFonts w:eastAsia="HGSMinchoE"/>
                <w:color w:val="000000" w:themeColor="text1"/>
                <w:sz w:val="22"/>
                <w:szCs w:val="22"/>
              </w:rPr>
              <w:t xml:space="preserve">7    </w:t>
            </w:r>
            <w:r w:rsidRPr="00563048">
              <w:rPr>
                <w:rFonts w:eastAsia="HGSMinchoE"/>
                <w:color w:val="000000" w:themeColor="text1"/>
                <w:sz w:val="18"/>
                <w:szCs w:val="18"/>
              </w:rPr>
              <w:t>(0.</w:t>
            </w:r>
            <w:r>
              <w:rPr>
                <w:rFonts w:eastAsia="HGSMinchoE"/>
                <w:color w:val="000000" w:themeColor="text1"/>
                <w:sz w:val="18"/>
                <w:szCs w:val="18"/>
              </w:rPr>
              <w:t>245</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303</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6F2FAFD4"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7F6E669D" w14:textId="77777777" w:rsidTr="00D74BE2">
        <w:tc>
          <w:tcPr>
            <w:tcW w:w="630" w:type="dxa"/>
            <w:tcBorders>
              <w:left w:val="single" w:sz="18" w:space="0" w:color="000000"/>
              <w:right w:val="single" w:sz="18" w:space="0" w:color="000000"/>
            </w:tcBorders>
          </w:tcPr>
          <w:p w14:paraId="2E5A4F33"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MM</w:t>
            </w:r>
          </w:p>
        </w:tc>
        <w:tc>
          <w:tcPr>
            <w:tcW w:w="360" w:type="dxa"/>
            <w:tcBorders>
              <w:left w:val="single" w:sz="18" w:space="0" w:color="000000"/>
              <w:right w:val="single" w:sz="8" w:space="0" w:color="000000"/>
            </w:tcBorders>
          </w:tcPr>
          <w:p w14:paraId="599D24B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C95EAA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E58CE2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FE9B02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318411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48585D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16C605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5B8141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1E86CC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CA2231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63296C3E"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72A718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251E3D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A9E97D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13483D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6B30D2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E0B50AD"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322E4B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-0.1</w:t>
            </w:r>
            <w:r>
              <w:rPr>
                <w:rFonts w:eastAsia="HGSMinchoE"/>
                <w:color w:val="000000" w:themeColor="text1"/>
                <w:sz w:val="22"/>
                <w:szCs w:val="22"/>
              </w:rPr>
              <w:t xml:space="preserve">2         </w:t>
            </w:r>
            <w:r w:rsidRPr="00563048">
              <w:rPr>
                <w:rFonts w:eastAsia="HGSMinchoE"/>
                <w:color w:val="000000" w:themeColor="text1"/>
                <w:sz w:val="18"/>
                <w:szCs w:val="18"/>
              </w:rPr>
              <w:t>(</w:t>
            </w:r>
            <w:r>
              <w:rPr>
                <w:rFonts w:eastAsia="HGSMinchoE"/>
                <w:color w:val="000000" w:themeColor="text1"/>
                <w:sz w:val="18"/>
                <w:szCs w:val="18"/>
              </w:rPr>
              <w:t>-</w:t>
            </w:r>
            <w:r w:rsidRPr="00563048">
              <w:rPr>
                <w:rFonts w:eastAsia="HGSMinchoE"/>
                <w:color w:val="000000" w:themeColor="text1"/>
                <w:sz w:val="18"/>
                <w:szCs w:val="18"/>
              </w:rPr>
              <w:t>0.</w:t>
            </w:r>
            <w:r>
              <w:rPr>
                <w:rFonts w:eastAsia="HGSMinchoE"/>
                <w:color w:val="000000" w:themeColor="text1"/>
                <w:sz w:val="18"/>
                <w:szCs w:val="18"/>
              </w:rPr>
              <w:t>13</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11</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7CAC776C"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2858357F" w14:textId="77777777" w:rsidTr="00D74BE2">
        <w:tc>
          <w:tcPr>
            <w:tcW w:w="630" w:type="dxa"/>
            <w:tcBorders>
              <w:left w:val="single" w:sz="18" w:space="0" w:color="000000"/>
              <w:bottom w:val="single" w:sz="18" w:space="0" w:color="000000" w:themeColor="text1"/>
              <w:right w:val="single" w:sz="18" w:space="0" w:color="000000"/>
            </w:tcBorders>
          </w:tcPr>
          <w:p w14:paraId="496382F4"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NN</w:t>
            </w:r>
          </w:p>
        </w:tc>
        <w:tc>
          <w:tcPr>
            <w:tcW w:w="360" w:type="dxa"/>
            <w:tcBorders>
              <w:left w:val="single" w:sz="18" w:space="0" w:color="000000"/>
              <w:bottom w:val="single" w:sz="18" w:space="0" w:color="000000" w:themeColor="text1"/>
              <w:right w:val="single" w:sz="8" w:space="0" w:color="000000"/>
            </w:tcBorders>
          </w:tcPr>
          <w:p w14:paraId="09A3B67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bottom w:val="single" w:sz="18" w:space="0" w:color="000000" w:themeColor="text1"/>
              <w:right w:val="single" w:sz="18" w:space="0" w:color="000000"/>
            </w:tcBorders>
          </w:tcPr>
          <w:p w14:paraId="689BB55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3887C63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bottom w:val="single" w:sz="18" w:space="0" w:color="000000" w:themeColor="text1"/>
              <w:right w:val="single" w:sz="2" w:space="0" w:color="AEAAAA" w:themeColor="background2" w:themeShade="BF"/>
            </w:tcBorders>
          </w:tcPr>
          <w:p w14:paraId="4BCBBAA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12" w:space="0" w:color="000000" w:themeColor="text1"/>
            </w:tcBorders>
          </w:tcPr>
          <w:p w14:paraId="61C4FCA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bottom w:val="single" w:sz="18" w:space="0" w:color="000000" w:themeColor="text1"/>
              <w:right w:val="single" w:sz="2" w:space="0" w:color="AEAAAA" w:themeColor="background2" w:themeShade="BF"/>
            </w:tcBorders>
          </w:tcPr>
          <w:p w14:paraId="5D1E486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2" w:space="0" w:color="AEAAAA" w:themeColor="background2" w:themeShade="BF"/>
            </w:tcBorders>
          </w:tcPr>
          <w:p w14:paraId="6DCD2D5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2" w:space="0" w:color="AEAAAA" w:themeColor="background2" w:themeShade="BF"/>
            </w:tcBorders>
          </w:tcPr>
          <w:p w14:paraId="7350BE0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2" w:space="0" w:color="AEAAAA" w:themeColor="background2" w:themeShade="BF"/>
            </w:tcBorders>
          </w:tcPr>
          <w:p w14:paraId="7B976D4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2" w:space="0" w:color="AEAAAA" w:themeColor="background2" w:themeShade="BF"/>
            </w:tcBorders>
          </w:tcPr>
          <w:p w14:paraId="7B475EE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18" w:space="0" w:color="000000"/>
            </w:tcBorders>
          </w:tcPr>
          <w:p w14:paraId="7C10D3B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2C96901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bottom w:val="single" w:sz="18" w:space="0" w:color="000000" w:themeColor="text1"/>
              <w:right w:val="single" w:sz="2" w:space="0" w:color="AEAAAA" w:themeColor="background2" w:themeShade="BF"/>
            </w:tcBorders>
          </w:tcPr>
          <w:p w14:paraId="2723556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18" w:space="0" w:color="000000"/>
            </w:tcBorders>
          </w:tcPr>
          <w:p w14:paraId="1190BC2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788E9BD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11FDCDD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50CD99AD"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bottom w:val="single" w:sz="18" w:space="0" w:color="000000" w:themeColor="text1"/>
              <w:right w:val="single" w:sz="18" w:space="0" w:color="000000"/>
            </w:tcBorders>
          </w:tcPr>
          <w:p w14:paraId="7A8D580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20         </w:t>
            </w:r>
            <w:r w:rsidRPr="00563048">
              <w:rPr>
                <w:rFonts w:eastAsia="HGSMinchoE"/>
                <w:color w:val="000000" w:themeColor="text1"/>
                <w:sz w:val="18"/>
                <w:szCs w:val="18"/>
              </w:rPr>
              <w:t>(</w:t>
            </w:r>
            <w:r>
              <w:rPr>
                <w:rFonts w:eastAsia="HGSMinchoE"/>
                <w:color w:val="000000" w:themeColor="text1"/>
                <w:sz w:val="18"/>
                <w:szCs w:val="18"/>
              </w:rPr>
              <w:t>-</w:t>
            </w:r>
            <w:r w:rsidRPr="00563048">
              <w:rPr>
                <w:rFonts w:eastAsia="HGSMinchoE"/>
                <w:color w:val="000000" w:themeColor="text1"/>
                <w:sz w:val="18"/>
                <w:szCs w:val="18"/>
              </w:rPr>
              <w:t>0.</w:t>
            </w:r>
            <w:r>
              <w:rPr>
                <w:rFonts w:eastAsia="HGSMinchoE"/>
                <w:color w:val="000000" w:themeColor="text1"/>
                <w:sz w:val="18"/>
                <w:szCs w:val="18"/>
              </w:rPr>
              <w:t>21</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.20</w:t>
            </w:r>
            <w:r w:rsidRPr="00563048">
              <w:rPr>
                <w:rFonts w:eastAsia="HGSMinchoE"/>
                <w:color w:val="000000" w:themeColor="text1"/>
                <w:sz w:val="18"/>
                <w:szCs w:val="18"/>
              </w:rPr>
              <w:t>)</w:t>
            </w:r>
          </w:p>
        </w:tc>
        <w:tc>
          <w:tcPr>
            <w:tcW w:w="720" w:type="dxa"/>
            <w:tcBorders>
              <w:left w:val="single" w:sz="12" w:space="0" w:color="000000" w:themeColor="text1"/>
              <w:bottom w:val="single" w:sz="18" w:space="0" w:color="000000" w:themeColor="text1"/>
              <w:right w:val="single" w:sz="18" w:space="0" w:color="000000"/>
            </w:tcBorders>
          </w:tcPr>
          <w:p w14:paraId="1B7666F3"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bl>
    <w:p w14:paraId="5B090BF9" w14:textId="77777777" w:rsidR="00450A49" w:rsidRPr="002D7E9D" w:rsidRDefault="00450A49" w:rsidP="00450A49">
      <w:pPr>
        <w:pStyle w:val="NormalWeb"/>
        <w:spacing w:line="360" w:lineRule="auto"/>
        <w:contextualSpacing/>
        <w:rPr>
          <w:color w:val="000000" w:themeColor="text1"/>
        </w:rPr>
      </w:pPr>
      <w:r w:rsidRPr="002D7E9D">
        <w:rPr>
          <w:color w:val="000000" w:themeColor="text1"/>
        </w:rPr>
        <w:t xml:space="preserve">*Note: We did not calculate bootstrap 95% confidence intervals for </w:t>
      </w:r>
      <w:r>
        <w:rPr>
          <w:rFonts w:eastAsia="HGSMinchoE"/>
          <w:color w:val="000000" w:themeColor="text1"/>
        </w:rPr>
        <w:t>ln(</w:t>
      </w:r>
      <w:r w:rsidRPr="002D7E9D">
        <w:rPr>
          <w:rFonts w:eastAsia="HGSMinchoE"/>
          <w:color w:val="000000" w:themeColor="text1"/>
        </w:rPr>
        <w:t xml:space="preserve">λ) </w:t>
      </w:r>
      <w:r w:rsidRPr="002D7E9D">
        <w:rPr>
          <w:color w:val="000000" w:themeColor="text1"/>
        </w:rPr>
        <w:t>of models “S” –“X”, since only vital rate parameters and not lambda values from these models were used in further analysis.</w:t>
      </w:r>
    </w:p>
    <w:p w14:paraId="051D2A33" w14:textId="77777777" w:rsidR="00450A49" w:rsidRPr="002D7E9D" w:rsidRDefault="00450A49" w:rsidP="00450A49">
      <w:pPr>
        <w:pStyle w:val="NormalWeb"/>
        <w:spacing w:line="480" w:lineRule="auto"/>
        <w:contextualSpacing/>
        <w:rPr>
          <w:color w:val="000000" w:themeColor="text1"/>
        </w:rPr>
      </w:pPr>
      <w:r w:rsidRPr="002D7E9D">
        <w:rPr>
          <w:color w:val="000000" w:themeColor="text1"/>
        </w:rPr>
        <w:tab/>
        <w:t>The IPM with one state variable corresponding to continuous plant size (IPM “A”) used a kernel structure where the continuous, above-ground population state ((</w:t>
      </w:r>
      <w:r w:rsidRPr="002D7E9D">
        <w:rPr>
          <w:i/>
          <w:iCs/>
          <w:color w:val="000000" w:themeColor="text1"/>
        </w:rPr>
        <w:t>n(z’, t+</w:t>
      </w:r>
      <w:r w:rsidRPr="002D7E9D">
        <w:rPr>
          <w:color w:val="000000" w:themeColor="text1"/>
        </w:rPr>
        <w:t>1</w:t>
      </w:r>
      <w:r w:rsidRPr="002D7E9D">
        <w:rPr>
          <w:i/>
          <w:iCs/>
          <w:color w:val="000000" w:themeColor="text1"/>
        </w:rPr>
        <w:t>)</w:t>
      </w:r>
      <w:r w:rsidRPr="002D7E9D">
        <w:rPr>
          <w:color w:val="000000" w:themeColor="text1"/>
        </w:rPr>
        <w:t xml:space="preserve">) at time </w:t>
      </w:r>
      <w:r w:rsidRPr="002D7E9D">
        <w:rPr>
          <w:i/>
          <w:iCs/>
          <w:color w:val="000000" w:themeColor="text1"/>
        </w:rPr>
        <w:t>t</w:t>
      </w:r>
      <w:r w:rsidRPr="002D7E9D">
        <w:rPr>
          <w:color w:val="000000" w:themeColor="text1"/>
        </w:rPr>
        <w:t xml:space="preserve">+1 was described by the following equation: </w:t>
      </w:r>
    </w:p>
    <w:p w14:paraId="4AE898BB" w14:textId="77777777" w:rsidR="00450A49" w:rsidRPr="002D7E9D" w:rsidRDefault="00450A49" w:rsidP="00450A49">
      <w:pPr>
        <w:pStyle w:val="NormalWeb"/>
        <w:spacing w:line="480" w:lineRule="auto"/>
        <w:contextualSpacing/>
        <w:rPr>
          <w:color w:val="000000" w:themeColor="text1"/>
        </w:rPr>
      </w:pPr>
      <m:oMathPara>
        <m:oMath>
          <m:r>
            <w:rPr>
              <w:rFonts w:ascii="Cambria Math" w:hAnsi="Cambria Math"/>
              <w:color w:val="000000" w:themeColor="text1"/>
              <w:lang w:val="x-none"/>
            </w:rPr>
            <m:t>n</m:t>
          </m:r>
          <m:d>
            <m:dPr>
              <m:ctrlPr>
                <w:rPr>
                  <w:rFonts w:ascii="Cambria Math" w:hAnsi="Cambria Math"/>
                  <w:color w:val="000000" w:themeColor="text1"/>
                  <w:lang w:val="x-none"/>
                </w:rPr>
              </m:ctrlPr>
            </m:dPr>
            <m:e>
              <m:sSup>
                <m:sSupPr>
                  <m:ctrlPr>
                    <w:rPr>
                      <w:rFonts w:ascii="Cambria Math" w:hAnsi="Cambria Math"/>
                      <w:color w:val="000000" w:themeColor="text1"/>
                      <w:lang w:val="x-none"/>
                    </w:rPr>
                  </m:ctrlPr>
                </m:sSupPr>
                <m:e>
                  <m:r>
                    <w:rPr>
                      <w:rFonts w:ascii="Cambria Math" w:hAnsi="Cambria Math"/>
                      <w:color w:val="000000" w:themeColor="text1"/>
                      <w:lang w:val="x-none"/>
                    </w:rPr>
                    <m:t>z</m:t>
                  </m:r>
                </m:e>
                <m:sup>
                  <m:r>
                    <m:rPr>
                      <m:sty m:val="p"/>
                    </m:rPr>
                    <w:rPr>
                      <w:rFonts w:ascii="Cambria Math" w:hAnsi="Cambria Math"/>
                      <w:color w:val="000000" w:themeColor="text1"/>
                      <w:lang w:val="x-none"/>
                    </w:rPr>
                    <m:t>'</m:t>
                  </m:r>
                </m:sup>
              </m:sSup>
              <m:r>
                <m:rPr>
                  <m:sty m:val="p"/>
                </m:rPr>
                <w:rPr>
                  <w:rFonts w:ascii="Cambria Math" w:hAnsi="Cambria Math"/>
                  <w:color w:val="000000" w:themeColor="text1"/>
                  <w:lang w:val="x-none"/>
                </w:rPr>
                <m:t>, </m:t>
              </m:r>
              <m:r>
                <w:rPr>
                  <w:rFonts w:ascii="Cambria Math" w:hAnsi="Cambria Math"/>
                  <w:color w:val="000000" w:themeColor="text1"/>
                  <w:lang w:val="x-none"/>
                </w:rPr>
                <m:t>t</m:t>
              </m:r>
              <m:r>
                <m:rPr>
                  <m:sty m:val="p"/>
                </m:rPr>
                <w:rPr>
                  <w:rFonts w:ascii="Cambria Math" w:hAnsi="Cambria Math"/>
                  <w:color w:val="000000" w:themeColor="text1"/>
                  <w:lang w:val="x-none"/>
                </w:rPr>
                <m:t>+1</m:t>
              </m:r>
            </m:e>
          </m:d>
          <m:r>
            <m:rPr>
              <m:sty m:val="p"/>
            </m:rPr>
            <w:rPr>
              <w:rFonts w:ascii="Cambria Math" w:hAnsi="Cambria Math"/>
              <w:color w:val="000000" w:themeColor="text1"/>
              <w:lang w:val="x-none"/>
            </w:rPr>
            <m:t>=</m:t>
          </m:r>
          <m:nary>
            <m:naryPr>
              <m:limLoc m:val="subSup"/>
              <m:ctrlPr>
                <w:rPr>
                  <w:rFonts w:ascii="Cambria Math" w:hAnsi="Cambria Math"/>
                  <w:color w:val="000000" w:themeColor="text1"/>
                  <w:lang w:val="x-none"/>
                </w:rPr>
              </m:ctrlPr>
            </m:naryPr>
            <m:sub>
              <m:r>
                <w:rPr>
                  <w:rFonts w:ascii="Cambria Math" w:hAnsi="Cambria Math"/>
                  <w:color w:val="000000" w:themeColor="text1"/>
                  <w:lang w:val="x-none"/>
                </w:rPr>
                <m:t>L</m:t>
              </m:r>
            </m:sub>
            <m:sup>
              <m:r>
                <w:rPr>
                  <w:rFonts w:ascii="Cambria Math" w:hAnsi="Cambria Math"/>
                  <w:color w:val="000000" w:themeColor="text1"/>
                  <w:lang w:val="x-none"/>
                </w:rPr>
                <m:t>U</m:t>
              </m:r>
            </m:sup>
            <m:e>
              <m:d>
                <m:dPr>
                  <m:ctrlPr>
                    <w:rPr>
                      <w:rFonts w:ascii="Cambria Math" w:hAnsi="Cambria Math"/>
                      <w:color w:val="000000" w:themeColor="text1"/>
                      <w:lang w:val="x-none"/>
                    </w:rPr>
                  </m:ctrlPr>
                </m:dPr>
                <m:e>
                  <m:r>
                    <m:rPr>
                      <m:sty m:val="p"/>
                    </m:rPr>
                    <w:rPr>
                      <w:rFonts w:ascii="Cambria Math" w:hAnsi="Cambria Math"/>
                      <w:color w:val="000000" w:themeColor="text1"/>
                      <w:lang w:val="x-none"/>
                    </w:rPr>
                    <m:t>1-</m:t>
                  </m:r>
                  <m:sSub>
                    <m:sSubPr>
                      <m:ctrlPr>
                        <w:rPr>
                          <w:rFonts w:ascii="Cambria Math" w:hAnsi="Cambria Math"/>
                          <w:color w:val="000000" w:themeColor="text1"/>
                          <w:lang w:val="x-none"/>
                        </w:rPr>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rPr>
                          <w:rFonts w:ascii="Cambria Math" w:hAnsi="Cambria Math"/>
                          <w:color w:val="000000" w:themeColor="text1"/>
                          <w:lang w:val="x-none"/>
                        </w:rPr>
                      </m:ctrlPr>
                    </m:dPr>
                    <m:e>
                      <m:r>
                        <w:rPr>
                          <w:rFonts w:ascii="Cambria Math" w:hAnsi="Cambria Math"/>
                          <w:color w:val="000000" w:themeColor="text1"/>
                          <w:lang w:val="x-none"/>
                        </w:rPr>
                        <m:t>z</m:t>
                      </m:r>
                    </m:e>
                  </m:d>
                </m:e>
              </m:d>
              <m:r>
                <m:rPr>
                  <m:sty m:val="p"/>
                </m:rPr>
                <w:rPr>
                  <w:rFonts w:ascii="Cambria Math" w:hAnsi="Cambria Math"/>
                  <w:color w:val="000000" w:themeColor="text1"/>
                  <w:lang w:val="x-none"/>
                </w:rPr>
                <m:t> </m:t>
              </m:r>
              <m:r>
                <w:rPr>
                  <w:rFonts w:ascii="Cambria Math" w:hAnsi="Cambria Math"/>
                  <w:color w:val="000000" w:themeColor="text1"/>
                  <w:lang w:val="x-none"/>
                </w:rPr>
                <m:t>s</m:t>
              </m:r>
              <m:d>
                <m:dPr>
                  <m:ctrlPr>
                    <w:rPr>
                      <w:rFonts w:ascii="Cambria Math" w:hAnsi="Cambria Math"/>
                      <w:color w:val="000000" w:themeColor="text1"/>
                      <w:lang w:val="x-none"/>
                    </w:rPr>
                  </m:ctrlPr>
                </m:dPr>
                <m:e>
                  <m:r>
                    <w:rPr>
                      <w:rFonts w:ascii="Cambria Math" w:hAnsi="Cambria Math"/>
                      <w:color w:val="000000" w:themeColor="text1"/>
                      <w:lang w:val="x-none"/>
                    </w:rPr>
                    <m:t>z</m:t>
                  </m:r>
                </m:e>
              </m:d>
              <m:r>
                <m:rPr>
                  <m:sty m:val="p"/>
                </m:rPr>
                <w:rPr>
                  <w:rFonts w:ascii="Cambria Math" w:hAnsi="Cambria Math"/>
                  <w:color w:val="000000" w:themeColor="text1"/>
                  <w:lang w:val="x-none"/>
                </w:rPr>
                <m:t> G</m:t>
              </m:r>
              <m:d>
                <m:dPr>
                  <m:ctrlPr>
                    <w:rPr>
                      <w:rFonts w:ascii="Cambria Math" w:hAnsi="Cambria Math"/>
                      <w:color w:val="000000" w:themeColor="text1"/>
                      <w:lang w:val="x-none"/>
                    </w:rPr>
                  </m:ctrlPr>
                </m:dPr>
                <m:e>
                  <m:sSup>
                    <m:sSupPr>
                      <m:ctrlPr>
                        <w:rPr>
                          <w:rFonts w:ascii="Cambria Math" w:hAnsi="Cambria Math"/>
                          <w:color w:val="000000" w:themeColor="text1"/>
                          <w:lang w:val="x-none"/>
                        </w:rPr>
                      </m:ctrlPr>
                    </m:sSupPr>
                    <m:e>
                      <m:r>
                        <w:rPr>
                          <w:rFonts w:ascii="Cambria Math" w:hAnsi="Cambria Math"/>
                          <w:color w:val="000000" w:themeColor="text1"/>
                          <w:lang w:val="x-none"/>
                        </w:rPr>
                        <m:t>z</m:t>
                      </m:r>
                    </m:e>
                    <m:sup>
                      <m:r>
                        <m:rPr>
                          <m:sty m:val="p"/>
                        </m:rPr>
                        <w:rPr>
                          <w:rFonts w:ascii="Cambria Math" w:hAnsi="Cambria Math"/>
                          <w:color w:val="000000" w:themeColor="text1"/>
                          <w:lang w:val="x-none"/>
                        </w:rPr>
                        <m:t>'</m:t>
                      </m:r>
                    </m:sup>
                  </m:sSup>
                  <m:r>
                    <m:rPr>
                      <m:sty m:val="p"/>
                    </m:rPr>
                    <w:rPr>
                      <w:rFonts w:ascii="Cambria Math" w:hAnsi="Cambria Math"/>
                      <w:color w:val="000000" w:themeColor="text1"/>
                      <w:lang w:val="x-none"/>
                    </w:rPr>
                    <m:t>,</m:t>
                  </m:r>
                  <m:r>
                    <w:rPr>
                      <w:rFonts w:ascii="Cambria Math" w:hAnsi="Cambria Math"/>
                      <w:color w:val="000000" w:themeColor="text1"/>
                      <w:lang w:val="x-none"/>
                    </w:rPr>
                    <m:t>z</m:t>
                  </m:r>
                </m:e>
              </m:d>
              <m:r>
                <m:rPr>
                  <m:sty m:val="p"/>
                </m:rPr>
                <w:rPr>
                  <w:rFonts w:ascii="Cambria Math" w:hAnsi="Cambria Math"/>
                  <w:color w:val="000000" w:themeColor="text1"/>
                  <w:lang w:val="x-none"/>
                </w:rPr>
                <m:t> </m:t>
              </m:r>
              <m:r>
                <w:rPr>
                  <w:rFonts w:ascii="Cambria Math" w:hAnsi="Cambria Math"/>
                  <w:color w:val="000000" w:themeColor="text1"/>
                  <w:lang w:val="x-none"/>
                </w:rPr>
                <m:t>n</m:t>
              </m:r>
              <m:d>
                <m:dPr>
                  <m:ctrlPr>
                    <w:rPr>
                      <w:rFonts w:ascii="Cambria Math" w:hAnsi="Cambria Math"/>
                      <w:color w:val="000000" w:themeColor="text1"/>
                      <w:lang w:val="x-none"/>
                    </w:rPr>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m:rPr>
              <m:sty m:val="p"/>
            </m:rPr>
            <w:rPr>
              <w:rFonts w:ascii="Cambria Math" w:hAnsi="Cambria Math"/>
              <w:color w:val="000000" w:themeColor="text1"/>
              <w:lang w:val="x-none"/>
            </w:rPr>
            <m:t xml:space="preserve">              + </m:t>
          </m:r>
          <m:r>
            <w:rPr>
              <w:rFonts w:ascii="Cambria Math" w:hAnsi="Cambria Math"/>
              <w:color w:val="000000" w:themeColor="text1"/>
              <w:lang w:val="x-none"/>
            </w:rPr>
            <m:t>pEstab</m:t>
          </m:r>
          <m:nary>
            <m:naryPr>
              <m:limLoc m:val="subSup"/>
              <m:ctrlPr>
                <w:rPr>
                  <w:rFonts w:ascii="Cambria Math" w:hAnsi="Cambria Math"/>
                  <w:color w:val="000000" w:themeColor="text1"/>
                  <w:lang w:val="x-none"/>
                </w:rPr>
              </m:ctrlPr>
            </m:naryPr>
            <m:sub>
              <m:r>
                <w:rPr>
                  <w:rFonts w:ascii="Cambria Math" w:hAnsi="Cambria Math"/>
                  <w:color w:val="000000" w:themeColor="text1"/>
                  <w:lang w:val="x-none"/>
                </w:rPr>
                <m:t>L</m:t>
              </m:r>
            </m:sub>
            <m:sup>
              <m:r>
                <w:rPr>
                  <w:rFonts w:ascii="Cambria Math" w:hAnsi="Cambria Math"/>
                  <w:color w:val="000000" w:themeColor="text1"/>
                  <w:lang w:val="x-none"/>
                </w:rPr>
                <m:t>U</m:t>
              </m:r>
            </m:sup>
            <m:e>
              <m:sSub>
                <m:sSubPr>
                  <m:ctrlPr>
                    <w:rPr>
                      <w:rFonts w:ascii="Cambria Math" w:hAnsi="Cambria Math"/>
                      <w:color w:val="000000" w:themeColor="text1"/>
                      <w:lang w:val="x-none"/>
                    </w:rPr>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rPr>
                      <w:rFonts w:ascii="Cambria Math" w:hAnsi="Cambria Math"/>
                      <w:color w:val="000000" w:themeColor="text1"/>
                      <w:lang w:val="x-none"/>
                    </w:rPr>
                  </m:ctrlPr>
                </m:dPr>
                <m:e>
                  <m:r>
                    <w:rPr>
                      <w:rFonts w:ascii="Cambria Math" w:hAnsi="Cambria Math"/>
                      <w:color w:val="000000" w:themeColor="text1"/>
                      <w:lang w:val="x-none"/>
                    </w:rPr>
                    <m:t>z</m:t>
                  </m:r>
                </m:e>
              </m:d>
              <m:r>
                <w:rPr>
                  <w:rFonts w:ascii="Cambria Math" w:hAnsi="Cambria Math"/>
                  <w:color w:val="000000" w:themeColor="text1"/>
                  <w:lang w:val="x-none"/>
                </w:rPr>
                <m:t xml:space="preserve"> b</m:t>
              </m:r>
              <m:d>
                <m:dPr>
                  <m:ctrlPr>
                    <w:rPr>
                      <w:rFonts w:ascii="Cambria Math" w:hAnsi="Cambria Math"/>
                      <w:color w:val="000000" w:themeColor="text1"/>
                      <w:lang w:val="x-none"/>
                    </w:rPr>
                  </m:ctrlPr>
                </m:dPr>
                <m:e>
                  <m:r>
                    <w:rPr>
                      <w:rFonts w:ascii="Cambria Math" w:hAnsi="Cambria Math"/>
                      <w:color w:val="000000" w:themeColor="text1"/>
                      <w:lang w:val="x-none"/>
                    </w:rPr>
                    <m:t>z</m:t>
                  </m:r>
                </m:e>
              </m:d>
              <m:r>
                <w:rPr>
                  <w:rFonts w:ascii="Cambria Math" w:hAnsi="Cambria Math"/>
                  <w:color w:val="000000" w:themeColor="text1"/>
                  <w:lang w:val="x-none"/>
                </w:rPr>
                <m:t xml:space="preserve"> </m:t>
              </m:r>
              <m:sSub>
                <m:sSubPr>
                  <m:ctrlPr>
                    <w:rPr>
                      <w:rFonts w:ascii="Cambria Math" w:hAnsi="Cambria Math"/>
                      <w:color w:val="000000" w:themeColor="text1"/>
                      <w:lang w:val="x-none"/>
                    </w:rPr>
                  </m:ctrlPr>
                </m:sSubPr>
                <m:e>
                  <m:r>
                    <w:rPr>
                      <w:rFonts w:ascii="Cambria Math" w:hAnsi="Cambria Math"/>
                      <w:color w:val="000000" w:themeColor="text1"/>
                      <w:lang w:val="x-none"/>
                    </w:rPr>
                    <m:t>c</m:t>
                  </m:r>
                </m:e>
                <m:sub>
                  <m:r>
                    <w:rPr>
                      <w:rFonts w:ascii="Cambria Math" w:hAnsi="Cambria Math"/>
                      <w:color w:val="000000" w:themeColor="text1"/>
                      <w:lang w:val="x-none"/>
                    </w:rPr>
                    <m:t>o</m:t>
                  </m:r>
                </m:sub>
              </m:sSub>
              <m:d>
                <m:dPr>
                  <m:ctrlPr>
                    <w:rPr>
                      <w:rFonts w:ascii="Cambria Math" w:hAnsi="Cambria Math"/>
                      <w:color w:val="000000" w:themeColor="text1"/>
                      <w:lang w:val="x-none"/>
                    </w:rPr>
                  </m:ctrlPr>
                </m:dPr>
                <m:e>
                  <m:sSup>
                    <m:sSupPr>
                      <m:ctrlPr>
                        <w:rPr>
                          <w:rFonts w:ascii="Cambria Math" w:hAnsi="Cambria Math"/>
                          <w:color w:val="000000" w:themeColor="text1"/>
                          <w:lang w:val="x-none"/>
                        </w:rPr>
                      </m:ctrlPr>
                    </m:sSupPr>
                    <m:e>
                      <m:r>
                        <m:rPr>
                          <m:sty m:val="p"/>
                        </m:rPr>
                        <w:rPr>
                          <w:rFonts w:ascii="Cambria Math" w:hAnsi="Cambria Math"/>
                          <w:color w:val="000000" w:themeColor="text1"/>
                          <w:lang w:val="x-none"/>
                        </w:rPr>
                        <m:t>z</m:t>
                      </m:r>
                    </m:e>
                    <m:sup>
                      <m:r>
                        <m:rPr>
                          <m:sty m:val="p"/>
                        </m:rPr>
                        <w:rPr>
                          <w:rFonts w:ascii="Cambria Math" w:hAnsi="Cambria Math"/>
                          <w:color w:val="000000" w:themeColor="text1"/>
                          <w:lang w:val="x-none"/>
                        </w:rPr>
                        <m:t>'</m:t>
                      </m:r>
                    </m:sup>
                  </m:sSup>
                </m:e>
              </m:d>
              <m:r>
                <m:rPr>
                  <m:sty m:val="p"/>
                </m:rPr>
                <w:rPr>
                  <w:rFonts w:ascii="Cambria Math" w:hAnsi="Cambria Math"/>
                  <w:color w:val="000000" w:themeColor="text1"/>
                  <w:lang w:val="x-none"/>
                </w:rPr>
                <m:t> </m:t>
              </m:r>
              <m:r>
                <w:rPr>
                  <w:rFonts w:ascii="Cambria Math" w:hAnsi="Cambria Math"/>
                  <w:color w:val="000000" w:themeColor="text1"/>
                  <w:lang w:val="x-none"/>
                </w:rPr>
                <m:t>n</m:t>
              </m:r>
              <m:d>
                <m:dPr>
                  <m:ctrlPr>
                    <w:rPr>
                      <w:rFonts w:ascii="Cambria Math" w:hAnsi="Cambria Math"/>
                      <w:color w:val="000000" w:themeColor="text1"/>
                      <w:lang w:val="x-none"/>
                    </w:rPr>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m:rPr>
              <m:sty m:val="p"/>
            </m:rPr>
            <w:rPr>
              <w:rFonts w:ascii="Cambria Math" w:hAnsi="Cambria Math"/>
              <w:color w:val="000000" w:themeColor="text1"/>
              <w:lang w:val="x-none"/>
            </w:rPr>
            <m:t xml:space="preserve">     eqn 1</m:t>
          </m:r>
        </m:oMath>
      </m:oMathPara>
    </w:p>
    <w:p w14:paraId="58380C3C" w14:textId="77777777" w:rsidR="00450A49" w:rsidRPr="002D7E9D" w:rsidRDefault="00450A49" w:rsidP="00450A49">
      <w:pPr>
        <w:pStyle w:val="NormalWeb"/>
        <w:spacing w:line="480" w:lineRule="auto"/>
        <w:contextualSpacing/>
        <w:rPr>
          <w:color w:val="000000" w:themeColor="text1"/>
        </w:rPr>
      </w:pPr>
      <w:r w:rsidRPr="002D7E9D">
        <w:rPr>
          <w:color w:val="000000" w:themeColor="text1"/>
        </w:rPr>
        <w:t>All of the IPMs with two population states used the same kernel structure, where the continuous, above-ground population state (</w:t>
      </w:r>
      <w:r w:rsidRPr="002D7E9D">
        <w:rPr>
          <w:i/>
          <w:iCs/>
          <w:color w:val="000000" w:themeColor="text1"/>
        </w:rPr>
        <w:t>n(z’, t+</w:t>
      </w:r>
      <w:r w:rsidRPr="002D7E9D">
        <w:rPr>
          <w:color w:val="000000" w:themeColor="text1"/>
        </w:rPr>
        <w:t>1</w:t>
      </w:r>
      <w:r w:rsidRPr="002D7E9D">
        <w:rPr>
          <w:i/>
          <w:iCs/>
          <w:color w:val="000000" w:themeColor="text1"/>
        </w:rPr>
        <w:t>)</w:t>
      </w:r>
      <w:r w:rsidRPr="002D7E9D">
        <w:rPr>
          <w:color w:val="000000" w:themeColor="text1"/>
        </w:rPr>
        <w:t>) and the seedbank state (</w:t>
      </w:r>
      <w:r w:rsidRPr="002D7E9D">
        <w:rPr>
          <w:i/>
          <w:iCs/>
          <w:color w:val="000000" w:themeColor="text1"/>
        </w:rPr>
        <w:t>B(t+</w:t>
      </w:r>
      <w:r w:rsidRPr="002D7E9D">
        <w:rPr>
          <w:color w:val="000000" w:themeColor="text1"/>
        </w:rPr>
        <w:t>1</w:t>
      </w:r>
      <w:r w:rsidRPr="002D7E9D">
        <w:rPr>
          <w:i/>
          <w:iCs/>
          <w:color w:val="000000" w:themeColor="text1"/>
        </w:rPr>
        <w:t>)</w:t>
      </w:r>
      <w:r w:rsidRPr="002D7E9D">
        <w:rPr>
          <w:color w:val="000000" w:themeColor="text1"/>
        </w:rPr>
        <w:t xml:space="preserve">) at time </w:t>
      </w:r>
      <w:r w:rsidRPr="002D7E9D">
        <w:rPr>
          <w:i/>
          <w:iCs/>
          <w:color w:val="000000" w:themeColor="text1"/>
        </w:rPr>
        <w:t>t+</w:t>
      </w:r>
      <w:r w:rsidRPr="002D7E9D">
        <w:rPr>
          <w:color w:val="000000" w:themeColor="text1"/>
        </w:rPr>
        <w:t>1</w:t>
      </w:r>
      <w:r w:rsidRPr="002D7E9D">
        <w:rPr>
          <w:i/>
          <w:iCs/>
          <w:color w:val="000000" w:themeColor="text1"/>
        </w:rPr>
        <w:t xml:space="preserve"> </w:t>
      </w:r>
      <w:r w:rsidRPr="002D7E9D">
        <w:rPr>
          <w:color w:val="000000" w:themeColor="text1"/>
        </w:rPr>
        <w:t xml:space="preserve">were described by the following equations: </w:t>
      </w:r>
    </w:p>
    <w:p w14:paraId="793A2C84" w14:textId="77777777" w:rsidR="00450A49" w:rsidRPr="002D7E9D" w:rsidRDefault="00450A49" w:rsidP="00450A49">
      <w:pPr>
        <w:pStyle w:val="NormalWeb"/>
        <w:spacing w:line="480" w:lineRule="auto"/>
        <w:ind w:left="720" w:hanging="720"/>
        <w:contextualSpacing/>
        <w:jc w:val="center"/>
        <w:rPr>
          <w:color w:val="000000" w:themeColor="text1"/>
        </w:rPr>
      </w:pPr>
      <m:oMathPara>
        <m:oMathParaPr>
          <m:jc m:val="left"/>
        </m:oMathParaPr>
        <m:oMath>
          <m:r>
            <w:rPr>
              <w:rFonts w:ascii="Cambria Math" w:hAnsi="Cambria Math"/>
              <w:color w:val="000000" w:themeColor="text1"/>
              <w:lang w:val="x-none"/>
            </w:rPr>
            <m:t>n</m:t>
          </m:r>
          <m:d>
            <m:dPr>
              <m:ctrlPr>
                <w:rPr>
                  <w:rFonts w:ascii="Cambria Math" w:hAnsi="Cambria Math"/>
                  <w:color w:val="000000" w:themeColor="text1"/>
                  <w:lang w:val="x-none"/>
                </w:rPr>
              </m:ctrlPr>
            </m:dPr>
            <m:e>
              <m:sSup>
                <m:sSupPr>
                  <m:ctrlPr>
                    <w:rPr>
                      <w:rFonts w:ascii="Cambria Math" w:hAnsi="Cambria Math"/>
                      <w:color w:val="000000" w:themeColor="text1"/>
                      <w:lang w:val="x-none"/>
                    </w:rPr>
                  </m:ctrlPr>
                </m:sSupPr>
                <m:e>
                  <m:r>
                    <w:rPr>
                      <w:rFonts w:ascii="Cambria Math" w:hAnsi="Cambria Math"/>
                      <w:color w:val="000000" w:themeColor="text1"/>
                      <w:lang w:val="x-none"/>
                    </w:rPr>
                    <m:t>z</m:t>
                  </m:r>
                </m:e>
                <m:sup>
                  <m:r>
                    <m:rPr>
                      <m:sty m:val="p"/>
                    </m:rPr>
                    <w:rPr>
                      <w:rFonts w:ascii="Cambria Math" w:hAnsi="Cambria Math"/>
                      <w:color w:val="000000" w:themeColor="text1"/>
                      <w:lang w:val="x-none"/>
                    </w:rPr>
                    <m:t>'</m:t>
                  </m:r>
                </m:sup>
              </m:sSup>
              <m:r>
                <m:rPr>
                  <m:sty m:val="p"/>
                </m:rPr>
                <w:rPr>
                  <w:rFonts w:ascii="Cambria Math" w:hAnsi="Cambria Math"/>
                  <w:color w:val="000000" w:themeColor="text1"/>
                  <w:lang w:val="x-none"/>
                </w:rPr>
                <m:t>, </m:t>
              </m:r>
              <m:r>
                <w:rPr>
                  <w:rFonts w:ascii="Cambria Math" w:hAnsi="Cambria Math"/>
                  <w:color w:val="000000" w:themeColor="text1"/>
                  <w:lang w:val="x-none"/>
                </w:rPr>
                <m:t>t</m:t>
              </m:r>
              <m:r>
                <m:rPr>
                  <m:sty m:val="p"/>
                </m:rPr>
                <w:rPr>
                  <w:rFonts w:ascii="Cambria Math" w:hAnsi="Cambria Math"/>
                  <w:color w:val="000000" w:themeColor="text1"/>
                  <w:lang w:val="x-none"/>
                </w:rPr>
                <m:t>+1</m:t>
              </m:r>
            </m:e>
          </m:d>
          <m:r>
            <m:rPr>
              <m:sty m:val="p"/>
            </m:rPr>
            <w:rPr>
              <w:rFonts w:ascii="Cambria Math" w:hAnsi="Cambria Math"/>
              <w:color w:val="000000" w:themeColor="text1"/>
              <w:lang w:val="x-none"/>
            </w:rPr>
            <m:t>=</m:t>
          </m:r>
          <m:nary>
            <m:naryPr>
              <m:limLoc m:val="subSup"/>
              <m:ctrlPr>
                <w:rPr>
                  <w:rFonts w:ascii="Cambria Math" w:hAnsi="Cambria Math"/>
                  <w:color w:val="000000" w:themeColor="text1"/>
                  <w:lang w:val="x-none"/>
                </w:rPr>
              </m:ctrlPr>
            </m:naryPr>
            <m:sub>
              <m:r>
                <w:rPr>
                  <w:rFonts w:ascii="Cambria Math" w:hAnsi="Cambria Math"/>
                  <w:color w:val="000000" w:themeColor="text1"/>
                  <w:lang w:val="x-none"/>
                </w:rPr>
                <m:t>L</m:t>
              </m:r>
            </m:sub>
            <m:sup>
              <m:r>
                <w:rPr>
                  <w:rFonts w:ascii="Cambria Math" w:hAnsi="Cambria Math"/>
                  <w:color w:val="000000" w:themeColor="text1"/>
                  <w:lang w:val="x-none"/>
                </w:rPr>
                <m:t>U</m:t>
              </m:r>
            </m:sup>
            <m:e>
              <m:d>
                <m:dPr>
                  <m:ctrlPr>
                    <w:rPr>
                      <w:rFonts w:ascii="Cambria Math" w:hAnsi="Cambria Math"/>
                      <w:color w:val="000000" w:themeColor="text1"/>
                      <w:lang w:val="x-none"/>
                    </w:rPr>
                  </m:ctrlPr>
                </m:dPr>
                <m:e>
                  <m:r>
                    <m:rPr>
                      <m:sty m:val="p"/>
                    </m:rPr>
                    <w:rPr>
                      <w:rFonts w:ascii="Cambria Math" w:hAnsi="Cambria Math"/>
                      <w:color w:val="000000" w:themeColor="text1"/>
                      <w:lang w:val="x-none"/>
                    </w:rPr>
                    <m:t>1-</m:t>
                  </m:r>
                  <m:sSub>
                    <m:sSubPr>
                      <m:ctrlPr>
                        <w:rPr>
                          <w:rFonts w:ascii="Cambria Math" w:hAnsi="Cambria Math"/>
                          <w:color w:val="000000" w:themeColor="text1"/>
                          <w:lang w:val="x-none"/>
                        </w:rPr>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rPr>
                          <w:rFonts w:ascii="Cambria Math" w:hAnsi="Cambria Math"/>
                          <w:color w:val="000000" w:themeColor="text1"/>
                          <w:lang w:val="x-none"/>
                        </w:rPr>
                      </m:ctrlPr>
                    </m:dPr>
                    <m:e>
                      <m:r>
                        <w:rPr>
                          <w:rFonts w:ascii="Cambria Math" w:hAnsi="Cambria Math"/>
                          <w:color w:val="000000" w:themeColor="text1"/>
                          <w:lang w:val="x-none"/>
                        </w:rPr>
                        <m:t>z</m:t>
                      </m:r>
                    </m:e>
                  </m:d>
                </m:e>
              </m:d>
              <m:r>
                <m:rPr>
                  <m:sty m:val="p"/>
                </m:rPr>
                <w:rPr>
                  <w:rFonts w:ascii="Cambria Math" w:hAnsi="Cambria Math"/>
                  <w:color w:val="000000" w:themeColor="text1"/>
                  <w:lang w:val="x-none"/>
                </w:rPr>
                <m:t> </m:t>
              </m:r>
              <m:r>
                <w:rPr>
                  <w:rFonts w:ascii="Cambria Math" w:hAnsi="Cambria Math"/>
                  <w:color w:val="000000" w:themeColor="text1"/>
                  <w:lang w:val="x-none"/>
                </w:rPr>
                <m:t>s</m:t>
              </m:r>
              <m:d>
                <m:dPr>
                  <m:ctrlPr>
                    <w:rPr>
                      <w:rFonts w:ascii="Cambria Math" w:hAnsi="Cambria Math"/>
                      <w:color w:val="000000" w:themeColor="text1"/>
                      <w:lang w:val="x-none"/>
                    </w:rPr>
                  </m:ctrlPr>
                </m:dPr>
                <m:e>
                  <m:r>
                    <w:rPr>
                      <w:rFonts w:ascii="Cambria Math" w:hAnsi="Cambria Math"/>
                      <w:color w:val="000000" w:themeColor="text1"/>
                      <w:lang w:val="x-none"/>
                    </w:rPr>
                    <m:t>z</m:t>
                  </m:r>
                </m:e>
              </m:d>
              <m:r>
                <m:rPr>
                  <m:sty m:val="p"/>
                </m:rPr>
                <w:rPr>
                  <w:rFonts w:ascii="Cambria Math" w:hAnsi="Cambria Math"/>
                  <w:color w:val="000000" w:themeColor="text1"/>
                  <w:lang w:val="x-none"/>
                </w:rPr>
                <m:t> G</m:t>
              </m:r>
              <m:d>
                <m:dPr>
                  <m:ctrlPr>
                    <w:rPr>
                      <w:rFonts w:ascii="Cambria Math" w:hAnsi="Cambria Math"/>
                      <w:color w:val="000000" w:themeColor="text1"/>
                      <w:lang w:val="x-none"/>
                    </w:rPr>
                  </m:ctrlPr>
                </m:dPr>
                <m:e>
                  <m:sSup>
                    <m:sSupPr>
                      <m:ctrlPr>
                        <w:rPr>
                          <w:rFonts w:ascii="Cambria Math" w:hAnsi="Cambria Math"/>
                          <w:color w:val="000000" w:themeColor="text1"/>
                          <w:lang w:val="x-none"/>
                        </w:rPr>
                      </m:ctrlPr>
                    </m:sSupPr>
                    <m:e>
                      <m:r>
                        <w:rPr>
                          <w:rFonts w:ascii="Cambria Math" w:hAnsi="Cambria Math"/>
                          <w:color w:val="000000" w:themeColor="text1"/>
                          <w:lang w:val="x-none"/>
                        </w:rPr>
                        <m:t>z</m:t>
                      </m:r>
                    </m:e>
                    <m:sup>
                      <m:r>
                        <m:rPr>
                          <m:sty m:val="p"/>
                        </m:rPr>
                        <w:rPr>
                          <w:rFonts w:ascii="Cambria Math" w:hAnsi="Cambria Math"/>
                          <w:color w:val="000000" w:themeColor="text1"/>
                          <w:lang w:val="x-none"/>
                        </w:rPr>
                        <m:t>'</m:t>
                      </m:r>
                    </m:sup>
                  </m:sSup>
                  <m:r>
                    <m:rPr>
                      <m:sty m:val="p"/>
                    </m:rPr>
                    <w:rPr>
                      <w:rFonts w:ascii="Cambria Math" w:hAnsi="Cambria Math"/>
                      <w:color w:val="000000" w:themeColor="text1"/>
                      <w:lang w:val="x-none"/>
                    </w:rPr>
                    <m:t>,</m:t>
                  </m:r>
                  <m:r>
                    <w:rPr>
                      <w:rFonts w:ascii="Cambria Math" w:hAnsi="Cambria Math"/>
                      <w:color w:val="000000" w:themeColor="text1"/>
                      <w:lang w:val="x-none"/>
                    </w:rPr>
                    <m:t>z</m:t>
                  </m:r>
                </m:e>
              </m:d>
              <m:r>
                <m:rPr>
                  <m:sty m:val="p"/>
                </m:rPr>
                <w:rPr>
                  <w:rFonts w:ascii="Cambria Math" w:hAnsi="Cambria Math"/>
                  <w:color w:val="000000" w:themeColor="text1"/>
                  <w:lang w:val="x-none"/>
                </w:rPr>
                <m:t> </m:t>
              </m:r>
              <m:r>
                <w:rPr>
                  <w:rFonts w:ascii="Cambria Math" w:hAnsi="Cambria Math"/>
                  <w:color w:val="000000" w:themeColor="text1"/>
                  <w:lang w:val="x-none"/>
                </w:rPr>
                <m:t>n</m:t>
              </m:r>
              <m:d>
                <m:dPr>
                  <m:ctrlPr>
                    <w:rPr>
                      <w:rFonts w:ascii="Cambria Math" w:hAnsi="Cambria Math"/>
                      <w:color w:val="000000" w:themeColor="text1"/>
                      <w:lang w:val="x-none"/>
                    </w:rPr>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m:rPr>
              <m:sty m:val="p"/>
            </m:rPr>
            <w:rPr>
              <w:rFonts w:ascii="Cambria Math" w:hAnsi="Cambria Math"/>
              <w:color w:val="000000" w:themeColor="text1"/>
              <w:lang w:val="x-none"/>
            </w:rPr>
            <m:t xml:space="preserve">              + </m:t>
          </m:r>
          <m:r>
            <w:rPr>
              <w:rFonts w:ascii="Cambria Math" w:hAnsi="Cambria Math"/>
              <w:color w:val="000000" w:themeColor="text1"/>
              <w:lang w:val="x-none"/>
            </w:rPr>
            <m:t>goCont</m:t>
          </m:r>
          <m:nary>
            <m:naryPr>
              <m:limLoc m:val="subSup"/>
              <m:ctrlPr>
                <w:rPr>
                  <w:rFonts w:ascii="Cambria Math" w:hAnsi="Cambria Math"/>
                  <w:color w:val="000000" w:themeColor="text1"/>
                  <w:lang w:val="x-none"/>
                </w:rPr>
              </m:ctrlPr>
            </m:naryPr>
            <m:sub>
              <m:r>
                <w:rPr>
                  <w:rFonts w:ascii="Cambria Math" w:hAnsi="Cambria Math"/>
                  <w:color w:val="000000" w:themeColor="text1"/>
                  <w:lang w:val="x-none"/>
                </w:rPr>
                <m:t>L</m:t>
              </m:r>
            </m:sub>
            <m:sup>
              <m:r>
                <w:rPr>
                  <w:rFonts w:ascii="Cambria Math" w:hAnsi="Cambria Math"/>
                  <w:color w:val="000000" w:themeColor="text1"/>
                  <w:lang w:val="x-none"/>
                </w:rPr>
                <m:t>U</m:t>
              </m:r>
            </m:sup>
            <m:e>
              <m:sSub>
                <m:sSubPr>
                  <m:ctrlPr>
                    <w:rPr>
                      <w:rFonts w:ascii="Cambria Math" w:hAnsi="Cambria Math"/>
                      <w:color w:val="000000" w:themeColor="text1"/>
                      <w:lang w:val="x-none"/>
                    </w:rPr>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rPr>
                      <w:rFonts w:ascii="Cambria Math" w:hAnsi="Cambria Math"/>
                      <w:color w:val="000000" w:themeColor="text1"/>
                      <w:lang w:val="x-none"/>
                    </w:rPr>
                  </m:ctrlPr>
                </m:dPr>
                <m:e>
                  <m:r>
                    <w:rPr>
                      <w:rFonts w:ascii="Cambria Math" w:hAnsi="Cambria Math"/>
                      <w:color w:val="000000" w:themeColor="text1"/>
                      <w:lang w:val="x-none"/>
                    </w:rPr>
                    <m:t>z</m:t>
                  </m:r>
                </m:e>
              </m:d>
              <m:r>
                <w:rPr>
                  <w:rFonts w:ascii="Cambria Math" w:hAnsi="Cambria Math"/>
                  <w:color w:val="000000" w:themeColor="text1"/>
                  <w:lang w:val="x-none"/>
                </w:rPr>
                <m:t xml:space="preserve"> b</m:t>
              </m:r>
              <m:d>
                <m:dPr>
                  <m:ctrlPr>
                    <w:rPr>
                      <w:rFonts w:ascii="Cambria Math" w:hAnsi="Cambria Math"/>
                      <w:color w:val="000000" w:themeColor="text1"/>
                      <w:lang w:val="x-none"/>
                    </w:rPr>
                  </m:ctrlPr>
                </m:dPr>
                <m:e>
                  <m:r>
                    <w:rPr>
                      <w:rFonts w:ascii="Cambria Math" w:hAnsi="Cambria Math"/>
                      <w:color w:val="000000" w:themeColor="text1"/>
                      <w:lang w:val="x-none"/>
                    </w:rPr>
                    <m:t>z</m:t>
                  </m:r>
                </m:e>
              </m:d>
              <m:r>
                <w:rPr>
                  <w:rFonts w:ascii="Cambria Math" w:hAnsi="Cambria Math"/>
                  <w:color w:val="000000" w:themeColor="text1"/>
                  <w:lang w:val="x-none"/>
                </w:rPr>
                <m:t xml:space="preserve"> </m:t>
              </m:r>
              <m:sSub>
                <m:sSubPr>
                  <m:ctrlPr>
                    <w:rPr>
                      <w:rFonts w:ascii="Cambria Math" w:hAnsi="Cambria Math"/>
                      <w:color w:val="000000" w:themeColor="text1"/>
                      <w:lang w:val="x-none"/>
                    </w:rPr>
                  </m:ctrlPr>
                </m:sSubPr>
                <m:e>
                  <m:r>
                    <w:rPr>
                      <w:rFonts w:ascii="Cambria Math" w:hAnsi="Cambria Math"/>
                      <w:color w:val="000000" w:themeColor="text1"/>
                      <w:lang w:val="x-none"/>
                    </w:rPr>
                    <m:t>c</m:t>
                  </m:r>
                </m:e>
                <m:sub>
                  <m:r>
                    <w:rPr>
                      <w:rFonts w:ascii="Cambria Math" w:hAnsi="Cambria Math"/>
                      <w:color w:val="000000" w:themeColor="text1"/>
                      <w:lang w:val="x-none"/>
                    </w:rPr>
                    <m:t>o</m:t>
                  </m:r>
                </m:sub>
              </m:sSub>
              <m:d>
                <m:dPr>
                  <m:ctrlPr>
                    <w:rPr>
                      <w:rFonts w:ascii="Cambria Math" w:hAnsi="Cambria Math"/>
                      <w:color w:val="000000" w:themeColor="text1"/>
                      <w:lang w:val="x-none"/>
                    </w:rPr>
                  </m:ctrlPr>
                </m:dPr>
                <m:e>
                  <m:sSup>
                    <m:sSupPr>
                      <m:ctrlPr>
                        <w:rPr>
                          <w:rFonts w:ascii="Cambria Math" w:hAnsi="Cambria Math"/>
                          <w:color w:val="000000" w:themeColor="text1"/>
                          <w:lang w:val="x-none"/>
                        </w:rPr>
                      </m:ctrlPr>
                    </m:sSupPr>
                    <m:e>
                      <m:r>
                        <m:rPr>
                          <m:sty m:val="p"/>
                        </m:rPr>
                        <w:rPr>
                          <w:rFonts w:ascii="Cambria Math" w:hAnsi="Cambria Math"/>
                          <w:color w:val="000000" w:themeColor="text1"/>
                          <w:lang w:val="x-none"/>
                        </w:rPr>
                        <m:t>z</m:t>
                      </m:r>
                    </m:e>
                    <m:sup>
                      <m:r>
                        <m:rPr>
                          <m:sty m:val="p"/>
                        </m:rPr>
                        <w:rPr>
                          <w:rFonts w:ascii="Cambria Math" w:hAnsi="Cambria Math"/>
                          <w:color w:val="000000" w:themeColor="text1"/>
                          <w:lang w:val="x-none"/>
                        </w:rPr>
                        <m:t>'</m:t>
                      </m:r>
                    </m:sup>
                  </m:sSup>
                </m:e>
              </m:d>
              <m:r>
                <m:rPr>
                  <m:sty m:val="p"/>
                </m:rPr>
                <w:rPr>
                  <w:rFonts w:ascii="Cambria Math" w:hAnsi="Cambria Math"/>
                  <w:color w:val="000000" w:themeColor="text1"/>
                  <w:lang w:val="x-none"/>
                </w:rPr>
                <m:t> </m:t>
              </m:r>
              <m:r>
                <w:rPr>
                  <w:rFonts w:ascii="Cambria Math" w:hAnsi="Cambria Math"/>
                  <w:color w:val="000000" w:themeColor="text1"/>
                  <w:lang w:val="x-none"/>
                </w:rPr>
                <m:t>n</m:t>
              </m:r>
              <m:d>
                <m:dPr>
                  <m:ctrlPr>
                    <w:rPr>
                      <w:rFonts w:ascii="Cambria Math" w:hAnsi="Cambria Math"/>
                      <w:color w:val="000000" w:themeColor="text1"/>
                      <w:lang w:val="x-none"/>
                    </w:rPr>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w:rPr>
              <w:rFonts w:ascii="Cambria Math" w:hAnsi="Cambria Math"/>
              <w:color w:val="000000" w:themeColor="text1"/>
              <w:lang w:val="x-none"/>
            </w:rPr>
            <m:t xml:space="preserve">+outSB </m:t>
          </m:r>
          <m:d>
            <m:dPr>
              <m:ctrlPr>
                <w:rPr>
                  <w:rFonts w:ascii="Cambria Math" w:hAnsi="Cambria Math"/>
                  <w:i/>
                  <w:color w:val="000000" w:themeColor="text1"/>
                  <w:lang w:val="x-none"/>
                </w:rPr>
              </m:ctrlPr>
            </m:dPr>
            <m:e>
              <m:r>
                <w:rPr>
                  <w:rFonts w:ascii="Cambria Math" w:hAnsi="Cambria Math"/>
                  <w:color w:val="000000" w:themeColor="text1"/>
                  <w:lang w:val="x-none"/>
                </w:rPr>
                <m:t>B</m:t>
              </m:r>
              <m:d>
                <m:dPr>
                  <m:ctrlPr>
                    <w:rPr>
                      <w:rFonts w:ascii="Cambria Math" w:hAnsi="Cambria Math"/>
                      <w:i/>
                      <w:color w:val="000000" w:themeColor="text1"/>
                      <w:lang w:val="x-none"/>
                    </w:rPr>
                  </m:ctrlPr>
                </m:dPr>
                <m:e>
                  <m:r>
                    <w:rPr>
                      <w:rFonts w:ascii="Cambria Math" w:hAnsi="Cambria Math"/>
                      <w:color w:val="000000" w:themeColor="text1"/>
                      <w:lang w:val="x-none"/>
                    </w:rPr>
                    <m:t>t</m:t>
                  </m:r>
                </m:e>
              </m:d>
              <m:sSub>
                <m:sSubPr>
                  <m:ctrlPr>
                    <w:rPr>
                      <w:rFonts w:ascii="Cambria Math" w:hAnsi="Cambria Math"/>
                      <w:color w:val="000000" w:themeColor="text1"/>
                      <w:lang w:val="x-none"/>
                    </w:rPr>
                  </m:ctrlPr>
                </m:sSubPr>
                <m:e>
                  <m:r>
                    <w:rPr>
                      <w:rFonts w:ascii="Cambria Math" w:hAnsi="Cambria Math"/>
                      <w:color w:val="000000" w:themeColor="text1"/>
                      <w:lang w:val="x-none"/>
                    </w:rPr>
                    <m:t>c</m:t>
                  </m:r>
                </m:e>
                <m:sub>
                  <m:r>
                    <w:rPr>
                      <w:rFonts w:ascii="Cambria Math" w:hAnsi="Cambria Math"/>
                      <w:color w:val="000000" w:themeColor="text1"/>
                      <w:lang w:val="x-none"/>
                    </w:rPr>
                    <m:t>o</m:t>
                  </m:r>
                </m:sub>
              </m:sSub>
              <m:d>
                <m:dPr>
                  <m:ctrlPr>
                    <w:rPr>
                      <w:rFonts w:ascii="Cambria Math" w:hAnsi="Cambria Math"/>
                      <w:color w:val="000000" w:themeColor="text1"/>
                      <w:lang w:val="x-none"/>
                    </w:rPr>
                  </m:ctrlPr>
                </m:dPr>
                <m:e>
                  <m:sSup>
                    <m:sSupPr>
                      <m:ctrlPr>
                        <w:rPr>
                          <w:rFonts w:ascii="Cambria Math" w:hAnsi="Cambria Math"/>
                          <w:color w:val="000000" w:themeColor="text1"/>
                          <w:lang w:val="x-none"/>
                        </w:rPr>
                      </m:ctrlPr>
                    </m:sSupPr>
                    <m:e>
                      <m:r>
                        <m:rPr>
                          <m:sty m:val="p"/>
                        </m:rPr>
                        <w:rPr>
                          <w:rFonts w:ascii="Cambria Math" w:hAnsi="Cambria Math"/>
                          <w:color w:val="000000" w:themeColor="text1"/>
                          <w:lang w:val="x-none"/>
                        </w:rPr>
                        <m:t>z</m:t>
                      </m:r>
                    </m:e>
                    <m:sup>
                      <m:r>
                        <m:rPr>
                          <m:sty m:val="p"/>
                        </m:rPr>
                        <w:rPr>
                          <w:rFonts w:ascii="Cambria Math" w:hAnsi="Cambria Math"/>
                          <w:color w:val="000000" w:themeColor="text1"/>
                          <w:lang w:val="x-none"/>
                        </w:rPr>
                        <m:t>'</m:t>
                      </m:r>
                    </m:sup>
                  </m:sSup>
                </m:e>
              </m:d>
            </m:e>
          </m:d>
          <m:r>
            <m:rPr>
              <m:sty m:val="p"/>
            </m:rPr>
            <w:rPr>
              <w:rFonts w:ascii="Cambria Math" w:hAnsi="Cambria Math"/>
              <w:color w:val="000000" w:themeColor="text1"/>
              <w:lang w:val="x-none"/>
            </w:rPr>
            <m:t>                                                    Equation 2</m:t>
          </m:r>
        </m:oMath>
      </m:oMathPara>
    </w:p>
    <w:p w14:paraId="47CAB22C" w14:textId="77777777" w:rsidR="00450A49" w:rsidRPr="002D7E9D" w:rsidRDefault="00450A49" w:rsidP="00450A49">
      <w:pPr>
        <w:pStyle w:val="NormalWeb"/>
        <w:spacing w:line="480" w:lineRule="auto"/>
        <w:ind w:left="630" w:firstLine="90"/>
        <w:contextualSpacing/>
        <w:rPr>
          <w:color w:val="000000" w:themeColor="text1"/>
        </w:rPr>
      </w:pPr>
      <m:oMathPara>
        <m:oMathParaPr>
          <m:jc m:val="left"/>
        </m:oMathParaPr>
        <m:oMath>
          <m:r>
            <w:rPr>
              <w:rFonts w:ascii="Cambria Math" w:hAnsi="Cambria Math"/>
              <w:color w:val="000000" w:themeColor="text1"/>
              <w:lang w:val="x-none"/>
            </w:rPr>
            <m:t>B</m:t>
          </m:r>
          <m:d>
            <m:dPr>
              <m:ctrlPr>
                <w:rPr>
                  <w:rFonts w:ascii="Cambria Math" w:hAnsi="Cambria Math"/>
                  <w:color w:val="000000" w:themeColor="text1"/>
                  <w:lang w:val="x-none"/>
                </w:rPr>
              </m:ctrlPr>
            </m:dPr>
            <m:e>
              <m:r>
                <w:rPr>
                  <w:rFonts w:ascii="Cambria Math" w:hAnsi="Cambria Math"/>
                  <w:color w:val="000000" w:themeColor="text1"/>
                  <w:lang w:val="x-none"/>
                </w:rPr>
                <m:t>t</m:t>
              </m:r>
              <m:r>
                <m:rPr>
                  <m:sty m:val="p"/>
                </m:rPr>
                <w:rPr>
                  <w:rFonts w:ascii="Cambria Math" w:hAnsi="Cambria Math"/>
                  <w:color w:val="000000" w:themeColor="text1"/>
                  <w:lang w:val="x-none"/>
                </w:rPr>
                <m:t>+1</m:t>
              </m:r>
            </m:e>
          </m:d>
          <m:r>
            <m:rPr>
              <m:sty m:val="p"/>
            </m:rPr>
            <w:rPr>
              <w:rFonts w:ascii="Cambria Math" w:hAnsi="Cambria Math"/>
              <w:color w:val="000000" w:themeColor="text1"/>
              <w:lang w:val="x-none"/>
            </w:rPr>
            <m:t>=</m:t>
          </m:r>
          <m:r>
            <w:rPr>
              <w:rFonts w:ascii="Cambria Math" w:hAnsi="Cambria Math"/>
              <w:color w:val="000000" w:themeColor="text1"/>
              <w:lang w:val="x-none"/>
            </w:rPr>
            <m:t xml:space="preserve">goSB </m:t>
          </m:r>
          <m:nary>
            <m:naryPr>
              <m:limLoc m:val="subSup"/>
              <m:ctrlPr>
                <w:rPr>
                  <w:rFonts w:ascii="Cambria Math" w:hAnsi="Cambria Math"/>
                  <w:color w:val="000000" w:themeColor="text1"/>
                  <w:lang w:val="x-none"/>
                </w:rPr>
              </m:ctrlPr>
            </m:naryPr>
            <m:sub>
              <m:r>
                <w:rPr>
                  <w:rFonts w:ascii="Cambria Math" w:hAnsi="Cambria Math"/>
                  <w:color w:val="000000" w:themeColor="text1"/>
                  <w:lang w:val="x-none"/>
                </w:rPr>
                <m:t>L</m:t>
              </m:r>
            </m:sub>
            <m:sup>
              <m:r>
                <w:rPr>
                  <w:rFonts w:ascii="Cambria Math" w:hAnsi="Cambria Math"/>
                  <w:color w:val="000000" w:themeColor="text1"/>
                  <w:lang w:val="x-none"/>
                </w:rPr>
                <m:t>U</m:t>
              </m:r>
            </m:sup>
            <m:e>
              <m:sSub>
                <m:sSubPr>
                  <m:ctrlPr>
                    <w:rPr>
                      <w:rFonts w:ascii="Cambria Math" w:hAnsi="Cambria Math"/>
                      <w:color w:val="000000" w:themeColor="text1"/>
                      <w:lang w:val="x-none"/>
                    </w:rPr>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rPr>
                      <w:rFonts w:ascii="Cambria Math" w:hAnsi="Cambria Math"/>
                      <w:color w:val="000000" w:themeColor="text1"/>
                      <w:lang w:val="x-none"/>
                    </w:rPr>
                  </m:ctrlPr>
                </m:dPr>
                <m:e>
                  <m:r>
                    <w:rPr>
                      <w:rFonts w:ascii="Cambria Math" w:hAnsi="Cambria Math"/>
                      <w:color w:val="000000" w:themeColor="text1"/>
                      <w:lang w:val="x-none"/>
                    </w:rPr>
                    <m:t>z</m:t>
                  </m:r>
                </m:e>
              </m:d>
              <m:r>
                <w:rPr>
                  <w:rFonts w:ascii="Cambria Math" w:hAnsi="Cambria Math"/>
                  <w:color w:val="000000" w:themeColor="text1"/>
                  <w:lang w:val="x-none"/>
                </w:rPr>
                <m:t xml:space="preserve"> b</m:t>
              </m:r>
              <m:d>
                <m:dPr>
                  <m:ctrlPr>
                    <w:rPr>
                      <w:rFonts w:ascii="Cambria Math" w:hAnsi="Cambria Math"/>
                      <w:color w:val="000000" w:themeColor="text1"/>
                      <w:lang w:val="x-none"/>
                    </w:rPr>
                  </m:ctrlPr>
                </m:dPr>
                <m:e>
                  <m:r>
                    <w:rPr>
                      <w:rFonts w:ascii="Cambria Math" w:hAnsi="Cambria Math"/>
                      <w:color w:val="000000" w:themeColor="text1"/>
                      <w:lang w:val="x-none"/>
                    </w:rPr>
                    <m:t>z</m:t>
                  </m:r>
                </m:e>
              </m:d>
              <m:r>
                <w:rPr>
                  <w:rFonts w:ascii="Cambria Math" w:hAnsi="Cambria Math"/>
                  <w:color w:val="000000" w:themeColor="text1"/>
                  <w:lang w:val="x-none"/>
                </w:rPr>
                <m:t xml:space="preserve"> n</m:t>
              </m:r>
              <m:d>
                <m:dPr>
                  <m:ctrlPr>
                    <w:rPr>
                      <w:rFonts w:ascii="Cambria Math" w:hAnsi="Cambria Math"/>
                      <w:color w:val="000000" w:themeColor="text1"/>
                      <w:lang w:val="x-none"/>
                    </w:rPr>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w:rPr>
              <w:rFonts w:ascii="Cambria Math" w:hAnsi="Cambria Math"/>
              <w:color w:val="000000" w:themeColor="text1"/>
              <w:lang w:val="x-none"/>
            </w:rPr>
            <m:t>+B</m:t>
          </m:r>
          <m:d>
            <m:dPr>
              <m:ctrlPr>
                <w:rPr>
                  <w:rFonts w:ascii="Cambria Math" w:hAnsi="Cambria Math"/>
                  <w:i/>
                  <w:color w:val="000000" w:themeColor="text1"/>
                  <w:lang w:val="x-none"/>
                </w:rPr>
              </m:ctrlPr>
            </m:dPr>
            <m:e>
              <m:r>
                <w:rPr>
                  <w:rFonts w:ascii="Cambria Math" w:hAnsi="Cambria Math"/>
                  <w:color w:val="000000" w:themeColor="text1"/>
                  <w:lang w:val="x-none"/>
                </w:rPr>
                <m:t>t</m:t>
              </m:r>
            </m:e>
          </m:d>
          <m:r>
            <w:rPr>
              <w:rFonts w:ascii="Cambria Math" w:hAnsi="Cambria Math"/>
              <w:color w:val="000000" w:themeColor="text1"/>
              <w:lang w:val="x-none"/>
            </w:rPr>
            <m:t xml:space="preserve"> staySB                                                                   </m:t>
          </m:r>
          <m:r>
            <m:rPr>
              <m:sty m:val="p"/>
            </m:rPr>
            <w:rPr>
              <w:rFonts w:ascii="Cambria Math" w:hAnsi="Cambria Math"/>
              <w:color w:val="000000" w:themeColor="text1"/>
              <w:lang w:val="x-none"/>
            </w:rPr>
            <m:t>Equation 3</m:t>
          </m:r>
        </m:oMath>
      </m:oMathPara>
    </w:p>
    <w:p w14:paraId="46222351" w14:textId="77777777" w:rsidR="00450A49" w:rsidRPr="002D7E9D" w:rsidRDefault="00450A49" w:rsidP="00450A49">
      <w:pPr>
        <w:pStyle w:val="NormalWeb"/>
        <w:spacing w:line="480" w:lineRule="auto"/>
        <w:contextualSpacing/>
        <w:rPr>
          <w:iCs/>
          <w:color w:val="000000" w:themeColor="text1"/>
        </w:rPr>
      </w:pPr>
      <w:r w:rsidRPr="002D7E9D">
        <w:rPr>
          <w:color w:val="000000" w:themeColor="text1"/>
        </w:rPr>
        <w:lastRenderedPageBreak/>
        <w:t xml:space="preserve">In both sets of equations, </w:t>
      </w:r>
      <w:r w:rsidRPr="002D7E9D">
        <w:rPr>
          <w:i/>
          <w:iCs/>
          <w:color w:val="000000" w:themeColor="text1"/>
        </w:rPr>
        <w:t>z</w:t>
      </w:r>
      <w:r w:rsidRPr="002D7E9D">
        <w:rPr>
          <w:color w:val="000000" w:themeColor="text1"/>
        </w:rPr>
        <w:t xml:space="preserve"> is the distribution of plant size in the current year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 xml:space="preserve">”), </w:t>
      </w:r>
      <w:r w:rsidRPr="002D7E9D">
        <w:rPr>
          <w:i/>
          <w:iCs/>
          <w:color w:val="000000" w:themeColor="text1"/>
        </w:rPr>
        <w:t>z’</w:t>
      </w:r>
      <w:r w:rsidRPr="002D7E9D">
        <w:rPr>
          <w:color w:val="000000" w:themeColor="text1"/>
        </w:rPr>
        <w:t xml:space="preserve"> is the distribution of plant size in the next year (“size</w:t>
      </w:r>
      <w:r w:rsidRPr="002D7E9D">
        <w:rPr>
          <w:i/>
          <w:iCs/>
          <w:color w:val="000000" w:themeColor="text1"/>
          <w:vertAlign w:val="subscript"/>
        </w:rPr>
        <w:t>t</w:t>
      </w:r>
      <w:r w:rsidRPr="002D7E9D">
        <w:rPr>
          <w:color w:val="000000" w:themeColor="text1"/>
          <w:vertAlign w:val="subscript"/>
        </w:rPr>
        <w:t>+1</w:t>
      </w:r>
      <w:r w:rsidRPr="002D7E9D">
        <w:rPr>
          <w:color w:val="000000" w:themeColor="text1"/>
        </w:rPr>
        <w:t xml:space="preserve">”), and </w:t>
      </w:r>
      <w:r w:rsidRPr="002D7E9D">
        <w:rPr>
          <w:i/>
          <w:iCs/>
          <w:color w:val="000000" w:themeColor="text1"/>
        </w:rPr>
        <w:t>U</w:t>
      </w:r>
      <w:r w:rsidRPr="002D7E9D">
        <w:rPr>
          <w:color w:val="000000" w:themeColor="text1"/>
        </w:rPr>
        <w:t xml:space="preserve"> and </w:t>
      </w:r>
      <w:r w:rsidRPr="002D7E9D">
        <w:rPr>
          <w:i/>
          <w:iCs/>
          <w:color w:val="000000" w:themeColor="text1"/>
        </w:rPr>
        <w:t>L</w:t>
      </w:r>
      <w:r w:rsidRPr="002D7E9D">
        <w:rPr>
          <w:color w:val="000000" w:themeColor="text1"/>
        </w:rPr>
        <w:t xml:space="preserve"> are the upper and lower boundaries of plant size. </w:t>
      </w:r>
      <w:r w:rsidRPr="002D7E9D">
        <w:rPr>
          <w:i/>
          <w:iCs/>
          <w:color w:val="000000" w:themeColor="text1"/>
        </w:rPr>
        <w:t>G</w:t>
      </w:r>
      <w:r w:rsidRPr="002D7E9D">
        <w:rPr>
          <w:color w:val="000000" w:themeColor="text1"/>
        </w:rPr>
        <w:t>(</w:t>
      </w:r>
      <w:r w:rsidRPr="002D7E9D">
        <w:rPr>
          <w:i/>
          <w:iCs/>
          <w:color w:val="000000" w:themeColor="text1"/>
        </w:rPr>
        <w:t>z’, z</w:t>
      </w:r>
      <w:r w:rsidRPr="002D7E9D">
        <w:rPr>
          <w:color w:val="000000" w:themeColor="text1"/>
        </w:rPr>
        <w:t>) is the vital rate function describing size</w:t>
      </w:r>
      <w:r w:rsidRPr="002D7E9D">
        <w:rPr>
          <w:i/>
          <w:iCs/>
          <w:color w:val="000000" w:themeColor="text1"/>
          <w:vertAlign w:val="subscript"/>
        </w:rPr>
        <w:t>t</w:t>
      </w:r>
      <w:r w:rsidRPr="002D7E9D">
        <w:rPr>
          <w:color w:val="000000" w:themeColor="text1"/>
          <w:vertAlign w:val="subscript"/>
        </w:rPr>
        <w:t xml:space="preserve">+1 </w:t>
      </w:r>
      <w:r w:rsidRPr="002D7E9D">
        <w:rPr>
          <w:color w:val="000000" w:themeColor="text1"/>
        </w:rPr>
        <w:t xml:space="preserve">as a function of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 xml:space="preserve">. The vital rate functions </w:t>
      </w:r>
      <w:r w:rsidRPr="002D7E9D">
        <w:rPr>
          <w:i/>
          <w:iCs/>
          <w:color w:val="000000" w:themeColor="text1"/>
        </w:rPr>
        <w:t>s</w:t>
      </w:r>
      <w:r w:rsidRPr="002D7E9D">
        <w:rPr>
          <w:color w:val="000000" w:themeColor="text1"/>
        </w:rPr>
        <w:t>(</w:t>
      </w:r>
      <w:r w:rsidRPr="002D7E9D">
        <w:rPr>
          <w:i/>
          <w:iCs/>
          <w:color w:val="000000" w:themeColor="text1"/>
        </w:rPr>
        <w:t>z</w:t>
      </w:r>
      <w:r w:rsidRPr="002D7E9D">
        <w:rPr>
          <w:color w:val="000000" w:themeColor="text1"/>
        </w:rPr>
        <w:t xml:space="preserve">), </w:t>
      </w:r>
      <w:r w:rsidRPr="002D7E9D">
        <w:rPr>
          <w:i/>
          <w:iCs/>
          <w:color w:val="000000" w:themeColor="text1"/>
        </w:rPr>
        <w:t>P</w:t>
      </w:r>
      <w:r w:rsidRPr="002D7E9D">
        <w:rPr>
          <w:i/>
          <w:iCs/>
          <w:color w:val="000000" w:themeColor="text1"/>
          <w:vertAlign w:val="subscript"/>
        </w:rPr>
        <w:t>b</w:t>
      </w:r>
      <w:r w:rsidRPr="002D7E9D">
        <w:rPr>
          <w:color w:val="000000" w:themeColor="text1"/>
        </w:rPr>
        <w:t>(</w:t>
      </w:r>
      <w:r w:rsidRPr="002D7E9D">
        <w:rPr>
          <w:i/>
          <w:iCs/>
          <w:color w:val="000000" w:themeColor="text1"/>
        </w:rPr>
        <w:t>z</w:t>
      </w:r>
      <w:r w:rsidRPr="002D7E9D">
        <w:rPr>
          <w:color w:val="000000" w:themeColor="text1"/>
        </w:rPr>
        <w:t xml:space="preserve">), and </w:t>
      </w:r>
      <w:r w:rsidRPr="002D7E9D">
        <w:rPr>
          <w:i/>
          <w:iCs/>
          <w:color w:val="000000" w:themeColor="text1"/>
        </w:rPr>
        <w:t>b</w:t>
      </w:r>
      <w:r w:rsidRPr="002D7E9D">
        <w:rPr>
          <w:color w:val="000000" w:themeColor="text1"/>
        </w:rPr>
        <w:t>(</w:t>
      </w:r>
      <w:r w:rsidRPr="002D7E9D">
        <w:rPr>
          <w:i/>
          <w:iCs/>
          <w:color w:val="000000" w:themeColor="text1"/>
        </w:rPr>
        <w:t>z</w:t>
      </w:r>
      <w:r w:rsidRPr="002D7E9D">
        <w:rPr>
          <w:color w:val="000000" w:themeColor="text1"/>
        </w:rPr>
        <w:t xml:space="preserve">) describe the relationship between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 xml:space="preserve"> and survival probability of non-flowering plants, flowering probability, and seed production of flowering plants, respectively.  </w:t>
      </w:r>
      <w:r w:rsidRPr="002D7E9D">
        <w:rPr>
          <w:i/>
          <w:iCs/>
          <w:color w:val="000000" w:themeColor="text1"/>
        </w:rPr>
        <w:t>c</w:t>
      </w:r>
      <w:r w:rsidRPr="002D7E9D">
        <w:rPr>
          <w:i/>
          <w:iCs/>
          <w:color w:val="000000" w:themeColor="text1"/>
          <w:vertAlign w:val="subscript"/>
        </w:rPr>
        <w:t>o</w:t>
      </w:r>
      <w:r w:rsidRPr="002D7E9D">
        <w:rPr>
          <w:color w:val="000000" w:themeColor="text1"/>
        </w:rPr>
        <w:t>(</w:t>
      </w:r>
      <w:r w:rsidRPr="002D7E9D">
        <w:rPr>
          <w:i/>
          <w:iCs/>
          <w:color w:val="000000" w:themeColor="text1"/>
        </w:rPr>
        <w:t>z’</w:t>
      </w:r>
      <w:r w:rsidRPr="002D7E9D">
        <w:rPr>
          <w:color w:val="000000" w:themeColor="text1"/>
        </w:rPr>
        <w:t>) is the distribution of above-ground recruit size</w:t>
      </w:r>
      <w:r w:rsidRPr="002D7E9D">
        <w:rPr>
          <w:i/>
          <w:iCs/>
          <w:color w:val="000000" w:themeColor="text1"/>
          <w:vertAlign w:val="subscript"/>
        </w:rPr>
        <w:t>t</w:t>
      </w:r>
      <w:r w:rsidRPr="002D7E9D">
        <w:rPr>
          <w:color w:val="000000" w:themeColor="text1"/>
          <w:vertAlign w:val="subscript"/>
        </w:rPr>
        <w:t>+1</w:t>
      </w:r>
      <w:r w:rsidRPr="002D7E9D">
        <w:rPr>
          <w:color w:val="000000" w:themeColor="text1"/>
        </w:rPr>
        <w:t xml:space="preserve">. </w:t>
      </w:r>
      <w:proofErr w:type="spellStart"/>
      <w:r w:rsidRPr="002D7E9D">
        <w:rPr>
          <w:i/>
          <w:iCs/>
          <w:color w:val="000000" w:themeColor="text1"/>
        </w:rPr>
        <w:t>goCont</w:t>
      </w:r>
      <w:proofErr w:type="spellEnd"/>
      <w:r w:rsidRPr="002D7E9D">
        <w:rPr>
          <w:color w:val="000000" w:themeColor="text1"/>
        </w:rPr>
        <w:t xml:space="preserve">, </w:t>
      </w:r>
      <w:proofErr w:type="spellStart"/>
      <w:r w:rsidRPr="002D7E9D">
        <w:rPr>
          <w:i/>
          <w:iCs/>
          <w:color w:val="000000" w:themeColor="text1"/>
        </w:rPr>
        <w:t>outSB</w:t>
      </w:r>
      <w:proofErr w:type="spellEnd"/>
      <w:r w:rsidRPr="002D7E9D">
        <w:rPr>
          <w:color w:val="000000" w:themeColor="text1"/>
        </w:rPr>
        <w:t xml:space="preserve">, </w:t>
      </w:r>
      <w:proofErr w:type="spellStart"/>
      <w:r w:rsidRPr="002D7E9D">
        <w:rPr>
          <w:i/>
          <w:iCs/>
          <w:color w:val="000000" w:themeColor="text1"/>
        </w:rPr>
        <w:t>goSB</w:t>
      </w:r>
      <w:proofErr w:type="spellEnd"/>
      <w:r w:rsidRPr="002D7E9D">
        <w:rPr>
          <w:color w:val="000000" w:themeColor="text1"/>
        </w:rPr>
        <w:t>, and</w:t>
      </w:r>
      <w:r w:rsidRPr="002D7E9D">
        <w:rPr>
          <w:i/>
          <w:iCs/>
          <w:color w:val="000000" w:themeColor="text1"/>
        </w:rPr>
        <w:t xml:space="preserve"> </w:t>
      </w:r>
      <w:proofErr w:type="spellStart"/>
      <w:r w:rsidRPr="002D7E9D">
        <w:rPr>
          <w:i/>
          <w:iCs/>
          <w:color w:val="000000" w:themeColor="text1"/>
        </w:rPr>
        <w:t>staySB</w:t>
      </w:r>
      <w:proofErr w:type="spellEnd"/>
      <w:r w:rsidRPr="002D7E9D">
        <w:rPr>
          <w:color w:val="000000" w:themeColor="text1"/>
        </w:rPr>
        <w:t xml:space="preserve"> are discrete parameters that determine seedbank dynamics. </w:t>
      </w:r>
      <w:proofErr w:type="spellStart"/>
      <w:r w:rsidRPr="002D7E9D">
        <w:rPr>
          <w:i/>
          <w:iCs/>
          <w:color w:val="000000" w:themeColor="text1"/>
        </w:rPr>
        <w:t>goCont</w:t>
      </w:r>
      <w:proofErr w:type="spellEnd"/>
      <w:r w:rsidRPr="002D7E9D">
        <w:rPr>
          <w:color w:val="000000" w:themeColor="text1"/>
        </w:rPr>
        <w:t xml:space="preserve"> is the probability of a seed produced in year </w:t>
      </w:r>
      <w:r w:rsidRPr="002D7E9D">
        <w:rPr>
          <w:i/>
          <w:iCs/>
          <w:color w:val="000000" w:themeColor="text1"/>
        </w:rPr>
        <w:t>t</w:t>
      </w:r>
      <w:r w:rsidRPr="002D7E9D">
        <w:rPr>
          <w:color w:val="000000" w:themeColor="text1"/>
        </w:rPr>
        <w:t xml:space="preserve"> germinating as a seedling in year </w:t>
      </w:r>
      <w:r w:rsidRPr="002D7E9D">
        <w:rPr>
          <w:i/>
          <w:iCs/>
          <w:color w:val="000000" w:themeColor="text1"/>
        </w:rPr>
        <w:t>t</w:t>
      </w:r>
      <w:r w:rsidRPr="002D7E9D">
        <w:rPr>
          <w:color w:val="000000" w:themeColor="text1"/>
        </w:rPr>
        <w:t xml:space="preserve">+1, </w:t>
      </w:r>
      <w:proofErr w:type="spellStart"/>
      <w:r w:rsidRPr="002D7E9D">
        <w:rPr>
          <w:i/>
          <w:iCs/>
          <w:color w:val="000000" w:themeColor="text1"/>
        </w:rPr>
        <w:t>outSB</w:t>
      </w:r>
      <w:proofErr w:type="spellEnd"/>
      <w:r w:rsidRPr="002D7E9D">
        <w:rPr>
          <w:color w:val="000000" w:themeColor="text1"/>
        </w:rPr>
        <w:t xml:space="preserve"> is the probability of a seed from the seedbank in year </w:t>
      </w:r>
      <w:r w:rsidRPr="002D7E9D">
        <w:rPr>
          <w:i/>
          <w:iCs/>
          <w:color w:val="000000" w:themeColor="text1"/>
        </w:rPr>
        <w:t>t</w:t>
      </w:r>
      <w:r w:rsidRPr="002D7E9D">
        <w:rPr>
          <w:color w:val="000000" w:themeColor="text1"/>
        </w:rPr>
        <w:t xml:space="preserve"> germinating as a seedling in year </w:t>
      </w:r>
      <w:r w:rsidRPr="002D7E9D">
        <w:rPr>
          <w:i/>
          <w:iCs/>
          <w:color w:val="000000" w:themeColor="text1"/>
        </w:rPr>
        <w:t>t</w:t>
      </w:r>
      <w:r w:rsidRPr="002D7E9D">
        <w:rPr>
          <w:color w:val="000000" w:themeColor="text1"/>
        </w:rPr>
        <w:t xml:space="preserve">+1, </w:t>
      </w:r>
      <w:proofErr w:type="spellStart"/>
      <w:r w:rsidRPr="002D7E9D">
        <w:rPr>
          <w:i/>
          <w:iCs/>
          <w:color w:val="000000" w:themeColor="text1"/>
        </w:rPr>
        <w:t>goSB</w:t>
      </w:r>
      <w:proofErr w:type="spellEnd"/>
      <w:r w:rsidRPr="002D7E9D">
        <w:rPr>
          <w:color w:val="000000" w:themeColor="text1"/>
        </w:rPr>
        <w:t xml:space="preserve"> is the probability of a seed produced in year </w:t>
      </w:r>
      <w:r w:rsidRPr="002D7E9D">
        <w:rPr>
          <w:i/>
          <w:iCs/>
          <w:color w:val="000000" w:themeColor="text1"/>
        </w:rPr>
        <w:t>t</w:t>
      </w:r>
      <w:r w:rsidRPr="002D7E9D">
        <w:rPr>
          <w:color w:val="000000" w:themeColor="text1"/>
        </w:rPr>
        <w:t xml:space="preserve"> going into the seedbank in year </w:t>
      </w:r>
      <w:r w:rsidRPr="002D7E9D">
        <w:rPr>
          <w:i/>
          <w:iCs/>
          <w:color w:val="000000" w:themeColor="text1"/>
        </w:rPr>
        <w:t>t</w:t>
      </w:r>
      <w:r w:rsidRPr="002D7E9D">
        <w:rPr>
          <w:color w:val="000000" w:themeColor="text1"/>
        </w:rPr>
        <w:t xml:space="preserve">+1, and </w:t>
      </w:r>
      <w:proofErr w:type="spellStart"/>
      <w:r w:rsidRPr="002D7E9D">
        <w:rPr>
          <w:i/>
          <w:iCs/>
          <w:color w:val="000000" w:themeColor="text1"/>
        </w:rPr>
        <w:t>staySB</w:t>
      </w:r>
      <w:proofErr w:type="spellEnd"/>
      <w:r w:rsidRPr="002D7E9D">
        <w:rPr>
          <w:color w:val="000000" w:themeColor="text1"/>
        </w:rPr>
        <w:t xml:space="preserve"> is the probability of a seed from the seedbank in year </w:t>
      </w:r>
      <w:r w:rsidRPr="002D7E9D">
        <w:rPr>
          <w:i/>
          <w:iCs/>
          <w:color w:val="000000" w:themeColor="text1"/>
        </w:rPr>
        <w:t>t</w:t>
      </w:r>
      <w:r w:rsidRPr="002D7E9D">
        <w:rPr>
          <w:color w:val="000000" w:themeColor="text1"/>
        </w:rPr>
        <w:t xml:space="preserve"> persisting in the seedbank in year </w:t>
      </w:r>
      <w:r w:rsidRPr="002D7E9D">
        <w:rPr>
          <w:i/>
          <w:iCs/>
          <w:color w:val="000000" w:themeColor="text1"/>
        </w:rPr>
        <w:t>t</w:t>
      </w:r>
      <w:r w:rsidRPr="002D7E9D">
        <w:rPr>
          <w:color w:val="000000" w:themeColor="text1"/>
        </w:rPr>
        <w:t xml:space="preserve">+1 </w:t>
      </w:r>
      <w:r w:rsidRPr="002D7E9D">
        <w:rPr>
          <w:color w:val="000000" w:themeColor="text1"/>
        </w:rPr>
        <w:fldChar w:fldCharType="begin" w:fldLock="1"/>
      </w:r>
      <w:r w:rsidRPr="002D7E9D">
        <w:rPr>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models","type":"article-journal","volume":"126"},"uris":["http://www.mendeley.com/documents/?uuid=43ed3b29-94b8-4286-8d6a-e2b7763b671f"]}],"mendeley":{"formattedCitation":"(Paniw et al. 2017)","plainTextFormattedCitation":"(Paniw et al. 2017)","previouslyFormattedCitation":"(Paniw et al. 2017)"},"properties":{"noteIndex":0},"schema":"https://github.com/citation-style-language/schema/raw/master/csl-citation.json"}</w:instrText>
      </w:r>
      <w:r w:rsidRPr="002D7E9D">
        <w:rPr>
          <w:color w:val="000000" w:themeColor="text1"/>
        </w:rPr>
        <w:fldChar w:fldCharType="separate"/>
      </w:r>
      <w:r w:rsidRPr="002D7E9D">
        <w:rPr>
          <w:noProof/>
          <w:color w:val="000000" w:themeColor="text1"/>
        </w:rPr>
        <w:t>(Paniw et al. 2017)</w:t>
      </w:r>
      <w:r w:rsidRPr="002D7E9D">
        <w:rPr>
          <w:color w:val="000000" w:themeColor="text1"/>
        </w:rPr>
        <w:fldChar w:fldCharType="end"/>
      </w:r>
      <w:r w:rsidRPr="002D7E9D">
        <w:rPr>
          <w:color w:val="000000" w:themeColor="text1"/>
        </w:rPr>
        <w:t xml:space="preserve"> (Table 3). </w:t>
      </w:r>
      <w:proofErr w:type="spellStart"/>
      <w:r w:rsidRPr="002D7E9D">
        <w:rPr>
          <w:i/>
          <w:iCs/>
          <w:color w:val="000000" w:themeColor="text1"/>
        </w:rPr>
        <w:t>pEstab</w:t>
      </w:r>
      <w:proofErr w:type="spellEnd"/>
      <w:r w:rsidRPr="002D7E9D">
        <w:rPr>
          <w:color w:val="000000" w:themeColor="text1"/>
        </w:rPr>
        <w:t xml:space="preserve"> is the probability of a seed produced in year </w:t>
      </w:r>
      <w:proofErr w:type="spellStart"/>
      <w:r w:rsidRPr="002D7E9D">
        <w:rPr>
          <w:i/>
          <w:iCs/>
          <w:color w:val="000000" w:themeColor="text1"/>
        </w:rPr>
        <w:t>t</w:t>
      </w:r>
      <w:proofErr w:type="spellEnd"/>
      <w:r w:rsidRPr="002D7E9D">
        <w:rPr>
          <w:color w:val="000000" w:themeColor="text1"/>
        </w:rPr>
        <w:t xml:space="preserve"> establishing as a seedling in year </w:t>
      </w:r>
      <w:r w:rsidRPr="002D7E9D">
        <w:rPr>
          <w:i/>
          <w:iCs/>
          <w:color w:val="000000" w:themeColor="text1"/>
        </w:rPr>
        <w:t>t</w:t>
      </w:r>
      <w:r w:rsidRPr="002D7E9D">
        <w:rPr>
          <w:iCs/>
          <w:color w:val="000000" w:themeColor="text1"/>
        </w:rPr>
        <w:t xml:space="preserve">+1. </w:t>
      </w:r>
    </w:p>
    <w:p w14:paraId="26B1B265" w14:textId="42F3629E" w:rsidR="00450A49" w:rsidRPr="002D7E9D" w:rsidRDefault="00450A49" w:rsidP="00450A49">
      <w:pPr>
        <w:pStyle w:val="NormalWeb"/>
        <w:spacing w:line="480" w:lineRule="auto"/>
        <w:ind w:firstLine="360"/>
        <w:rPr>
          <w:color w:val="000000" w:themeColor="text1"/>
        </w:rPr>
      </w:pPr>
      <w:r w:rsidRPr="002D7E9D">
        <w:rPr>
          <w:color w:val="000000" w:themeColor="text1"/>
        </w:rPr>
        <w:t xml:space="preserve">We used data from the three-year demographic monitoring study to parameterize the vital rates used in the IPMs (vital rates are shown in Fig. 1). Vital rate functions for the continuous, size-based above-ground stage were parameterized using data from “non-seedling plants” as well as seedlings. Although seedlings (above-ground plants &lt; 3 cm in leaf length) were only tallied in each subplot of each quadrat and year instead of tagged and measured, we incorporated them into the dataset for continuous, above-ground plants by assigning them a random size drawn from a continuous, uniform probability distribution (seedling size ~ </w:t>
      </w:r>
      <w:commentRangeStart w:id="20"/>
      <w:commentRangeStart w:id="21"/>
      <w:r w:rsidR="006C6F28" w:rsidRPr="00A018BD">
        <w:rPr>
          <w:i/>
          <w:iCs/>
          <w:color w:val="000000" w:themeColor="text1"/>
        </w:rPr>
        <w:t>U</w:t>
      </w:r>
      <w:r w:rsidR="006C6F28" w:rsidRPr="00A018BD">
        <w:rPr>
          <w:color w:val="000000" w:themeColor="text1"/>
        </w:rPr>
        <w:t>(0.1, 3)</w:t>
      </w:r>
      <w:commentRangeEnd w:id="20"/>
      <w:r w:rsidR="006C6F28">
        <w:rPr>
          <w:rStyle w:val="CommentReference"/>
          <w:rFonts w:asciiTheme="minorHAnsi" w:eastAsiaTheme="minorHAnsi" w:hAnsiTheme="minorHAnsi" w:cstheme="minorBidi"/>
        </w:rPr>
        <w:commentReference w:id="20"/>
      </w:r>
      <w:commentRangeEnd w:id="21"/>
      <w:r w:rsidR="006C6F28">
        <w:rPr>
          <w:rStyle w:val="CommentReference"/>
          <w:rFonts w:asciiTheme="minorHAnsi" w:eastAsiaTheme="minorHAnsi" w:hAnsiTheme="minorHAnsi" w:cstheme="minorBidi"/>
        </w:rPr>
        <w:commentReference w:id="21"/>
      </w:r>
      <w:r w:rsidR="006C6F28" w:rsidRPr="00A018BD">
        <w:rPr>
          <w:color w:val="000000" w:themeColor="text1"/>
        </w:rPr>
        <w:t xml:space="preserve">). </w:t>
      </w:r>
      <w:commentRangeStart w:id="22"/>
      <w:commentRangeStart w:id="23"/>
      <w:r w:rsidR="006C6F28" w:rsidRPr="00A018BD">
        <w:rPr>
          <w:color w:val="000000" w:themeColor="text1"/>
        </w:rPr>
        <w:t xml:space="preserve">Each new recruit to the &gt; 3 cm stage in year </w:t>
      </w:r>
      <w:r w:rsidR="006C6F28" w:rsidRPr="00A018BD">
        <w:rPr>
          <w:i/>
          <w:iCs/>
          <w:color w:val="000000" w:themeColor="text1"/>
        </w:rPr>
        <w:t>t</w:t>
      </w:r>
      <w:r w:rsidR="006C6F28" w:rsidRPr="00A018BD">
        <w:rPr>
          <w:color w:val="000000" w:themeColor="text1"/>
        </w:rPr>
        <w:t>+1 was randomly assigned to a seedling</w:t>
      </w:r>
      <w:r w:rsidR="006C6F28">
        <w:rPr>
          <w:color w:val="000000" w:themeColor="text1"/>
        </w:rPr>
        <w:t xml:space="preserve"> within the same subplot</w:t>
      </w:r>
      <w:r w:rsidR="006C6F28" w:rsidRPr="00A018BD">
        <w:rPr>
          <w:color w:val="000000" w:themeColor="text1"/>
        </w:rPr>
        <w:t xml:space="preserve"> in year </w:t>
      </w:r>
      <w:r w:rsidR="006C6F28" w:rsidRPr="00A018BD">
        <w:rPr>
          <w:i/>
          <w:iCs/>
          <w:color w:val="000000" w:themeColor="text1"/>
        </w:rPr>
        <w:t>t</w:t>
      </w:r>
      <w:r w:rsidR="006C6F28" w:rsidRPr="00A018BD">
        <w:rPr>
          <w:color w:val="000000" w:themeColor="text1"/>
        </w:rPr>
        <w:t xml:space="preserve">. Seedlings in year </w:t>
      </w:r>
      <w:r w:rsidR="006C6F28" w:rsidRPr="00A018BD">
        <w:rPr>
          <w:i/>
          <w:iCs/>
          <w:color w:val="000000" w:themeColor="text1"/>
        </w:rPr>
        <w:t>t</w:t>
      </w:r>
      <w:r w:rsidR="006C6F28" w:rsidRPr="00A018BD">
        <w:rPr>
          <w:color w:val="000000" w:themeColor="text1"/>
        </w:rPr>
        <w:t xml:space="preserve"> that were assigned a recruit in year </w:t>
      </w:r>
      <w:r w:rsidR="006C6F28" w:rsidRPr="00A018BD">
        <w:rPr>
          <w:i/>
          <w:iCs/>
          <w:color w:val="000000" w:themeColor="text1"/>
        </w:rPr>
        <w:t>t</w:t>
      </w:r>
      <w:r w:rsidR="006C6F28" w:rsidRPr="00A018BD">
        <w:rPr>
          <w:color w:val="000000" w:themeColor="text1"/>
        </w:rPr>
        <w:t xml:space="preserve">+1 survived, </w:t>
      </w:r>
      <w:commentRangeEnd w:id="22"/>
      <w:r w:rsidR="006C6F28">
        <w:rPr>
          <w:rStyle w:val="CommentReference"/>
          <w:rFonts w:asciiTheme="minorHAnsi" w:eastAsiaTheme="minorHAnsi" w:hAnsiTheme="minorHAnsi" w:cstheme="minorBidi"/>
        </w:rPr>
        <w:commentReference w:id="22"/>
      </w:r>
      <w:commentRangeEnd w:id="23"/>
      <w:r w:rsidR="006C6F28">
        <w:rPr>
          <w:rStyle w:val="CommentReference"/>
          <w:rFonts w:asciiTheme="minorHAnsi" w:eastAsiaTheme="minorHAnsi" w:hAnsiTheme="minorHAnsi" w:cstheme="minorBidi"/>
        </w:rPr>
        <w:commentReference w:id="23"/>
      </w:r>
      <w:r w:rsidRPr="002D7E9D">
        <w:rPr>
          <w:color w:val="000000" w:themeColor="text1"/>
        </w:rPr>
        <w:t xml:space="preserve">, while those without an </w:t>
      </w:r>
      <w:r w:rsidRPr="002D7E9D">
        <w:rPr>
          <w:color w:val="000000" w:themeColor="text1"/>
        </w:rPr>
        <w:lastRenderedPageBreak/>
        <w:t xml:space="preserve">assigned recruit died. Incorporating seedlings into the continuous dataset in this fashion allowed us to create IPMs using only one discrete stage. </w:t>
      </w:r>
    </w:p>
    <w:p w14:paraId="0A15899D" w14:textId="77777777" w:rsidR="00450A49" w:rsidRPr="002D7E9D" w:rsidRDefault="00450A49" w:rsidP="00450A49">
      <w:pPr>
        <w:pStyle w:val="NormalWeb"/>
        <w:spacing w:line="480" w:lineRule="auto"/>
        <w:ind w:firstLine="360"/>
        <w:rPr>
          <w:rFonts w:eastAsia="MS Gothic"/>
          <w:color w:val="000000" w:themeColor="text1"/>
        </w:rPr>
      </w:pPr>
      <w:r w:rsidRPr="002D7E9D">
        <w:rPr>
          <w:color w:val="000000" w:themeColor="text1"/>
        </w:rPr>
        <w:t xml:space="preserve">We used data from the demographic study to estimate continuous vital rate functions describing survival, growth, probability of flowering, seed production, and recruit size. For each of these vital rates, we fit subpopulation-level models as well as models using data across all sites. We additionally fit models with and without density dependence, with and without environmental covariates, and using data either from all years or from each unique annual transition. The basic model structure was the same for each vital rate (Table 3). All models included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 xml:space="preserve">as a predictor.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squared was also included as a predictor if it decreased model AIC. Additional covariates indicating population size and environmental conditions were added to these basic models. We modeled survival probability (</w:t>
      </w:r>
      <w:r w:rsidRPr="002D7E9D">
        <w:rPr>
          <w:i/>
          <w:iCs/>
          <w:color w:val="000000" w:themeColor="text1"/>
        </w:rPr>
        <w:t>s(z)</w:t>
      </w:r>
      <w:r w:rsidRPr="002D7E9D">
        <w:rPr>
          <w:color w:val="000000" w:themeColor="text1"/>
        </w:rPr>
        <w:t xml:space="preserve">) as a function of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 xml:space="preserve">using generalized linear models with binomial error distributions. Flowering individuals were excluded from the data used to fit survival models, since </w:t>
      </w:r>
      <w:r w:rsidRPr="002D7E9D">
        <w:rPr>
          <w:i/>
          <w:iCs/>
          <w:color w:val="000000" w:themeColor="text1"/>
        </w:rPr>
        <w:t>O. coloradensis</w:t>
      </w:r>
      <w:r w:rsidRPr="002D7E9D">
        <w:rPr>
          <w:color w:val="000000" w:themeColor="text1"/>
        </w:rPr>
        <w:t xml:space="preserve"> is a monocarpic perennial that nearly always dies after flowering. Probability of flowering (</w:t>
      </w:r>
      <w:r w:rsidRPr="002D7E9D">
        <w:rPr>
          <w:i/>
          <w:iCs/>
          <w:color w:val="000000" w:themeColor="text1"/>
        </w:rPr>
        <w:t xml:space="preserve">Pb(z)) </w:t>
      </w:r>
      <w:r w:rsidRPr="002D7E9D">
        <w:rPr>
          <w:color w:val="000000" w:themeColor="text1"/>
        </w:rPr>
        <w:t xml:space="preserve">was also modeled using generalized linear models with binomial error distributions, and was predicted by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 xml:space="preserve"> plus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squared. We estimated seed production (</w:t>
      </w:r>
      <w:r w:rsidRPr="002D7E9D">
        <w:rPr>
          <w:i/>
          <w:iCs/>
          <w:color w:val="000000" w:themeColor="text1"/>
        </w:rPr>
        <w:t>b(z)</w:t>
      </w:r>
      <w:r w:rsidRPr="002D7E9D">
        <w:rPr>
          <w:color w:val="000000" w:themeColor="text1"/>
        </w:rPr>
        <w:t xml:space="preserve">) as a function of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vertAlign w:val="subscript"/>
        </w:rPr>
        <w:t xml:space="preserve"> </w:t>
      </w:r>
      <w:r w:rsidRPr="002D7E9D">
        <w:rPr>
          <w:color w:val="000000" w:themeColor="text1"/>
        </w:rPr>
        <w:t>using negative binomial models because the count data was over-dispersed. We only used data from flowering plants in this analysis, and fit these models using the “</w:t>
      </w:r>
      <w:proofErr w:type="spellStart"/>
      <w:r w:rsidRPr="002D7E9D">
        <w:rPr>
          <w:color w:val="000000" w:themeColor="text1"/>
        </w:rPr>
        <w:t>glm.nb</w:t>
      </w:r>
      <w:proofErr w:type="spellEnd"/>
      <w:r w:rsidRPr="002D7E9D">
        <w:rPr>
          <w:color w:val="000000" w:themeColor="text1"/>
        </w:rPr>
        <w:t xml:space="preserve">” function from the “MASS” R package </w:t>
      </w:r>
      <w:r w:rsidRPr="002D7E9D">
        <w:rPr>
          <w:color w:val="000000" w:themeColor="text1"/>
        </w:rPr>
        <w:fldChar w:fldCharType="begin" w:fldLock="1"/>
      </w:r>
      <w:r w:rsidRPr="002D7E9D">
        <w:rPr>
          <w:color w:val="000000" w:themeColor="text1"/>
        </w:rPr>
        <w:instrText>ADDIN CSL_CITATION {"citationItems":[{"id":"ITEM-1","itemData":{"ISBN":"ISBN 0-387-95457-0","author":[{"dropping-particle":"","family":"Venables","given":"W N","non-dropping-particle":"","parse-names":false,"suffix":""},{"dropping-particle":"","family":"Ripley","given":"B D","non-dropping-particle":"","parse-names":false,"suffix":""}],"edition":"Fourth","id":"ITEM-1","issued":{"date-parts":[["2002"]]},"publisher":"Springer","publisher-place":"New York","title":"Modern Applied Statistics with S","type":"book"},"uris":["http://www.mendeley.com/documents/?uuid=48d57b11-4086-4235-8ee7-cd651710e176"]}],"mendeley":{"formattedCitation":"(Venables and Ripley 2002)","plainTextFormattedCitation":"(Venables and Ripley 2002)","previouslyFormattedCitation":"(Venables and Ripley 2002)"},"properties":{"noteIndex":0},"schema":"https://github.com/citation-style-language/schema/raw/master/csl-citation.json"}</w:instrText>
      </w:r>
      <w:r w:rsidRPr="002D7E9D">
        <w:rPr>
          <w:color w:val="000000" w:themeColor="text1"/>
        </w:rPr>
        <w:fldChar w:fldCharType="separate"/>
      </w:r>
      <w:r w:rsidRPr="002D7E9D">
        <w:rPr>
          <w:noProof/>
          <w:color w:val="000000" w:themeColor="text1"/>
        </w:rPr>
        <w:t>(Venables and Ripley 2002)</w:t>
      </w:r>
      <w:r w:rsidRPr="002D7E9D">
        <w:rPr>
          <w:color w:val="000000" w:themeColor="text1"/>
        </w:rPr>
        <w:fldChar w:fldCharType="end"/>
      </w:r>
      <w:r w:rsidRPr="002D7E9D">
        <w:rPr>
          <w:color w:val="000000" w:themeColor="text1"/>
        </w:rPr>
        <w:t>. Plant size</w:t>
      </w:r>
      <w:r w:rsidRPr="002D7E9D">
        <w:rPr>
          <w:i/>
          <w:iCs/>
          <w:color w:val="000000" w:themeColor="text1"/>
          <w:vertAlign w:val="subscript"/>
        </w:rPr>
        <w:t>t+1</w:t>
      </w:r>
      <w:r w:rsidRPr="002D7E9D">
        <w:rPr>
          <w:color w:val="000000" w:themeColor="text1"/>
        </w:rPr>
        <w:t xml:space="preserve"> (</w:t>
      </w:r>
      <w:r w:rsidRPr="002D7E9D">
        <w:rPr>
          <w:i/>
          <w:iCs/>
          <w:color w:val="000000" w:themeColor="text1"/>
        </w:rPr>
        <w:t>G(</w:t>
      </w:r>
      <w:proofErr w:type="spellStart"/>
      <w:r w:rsidRPr="002D7E9D">
        <w:rPr>
          <w:i/>
          <w:iCs/>
          <w:color w:val="000000" w:themeColor="text1"/>
        </w:rPr>
        <w:t>z’,z</w:t>
      </w:r>
      <w:proofErr w:type="spellEnd"/>
      <w:r w:rsidRPr="002D7E9D">
        <w:rPr>
          <w:i/>
          <w:iCs/>
          <w:color w:val="000000" w:themeColor="text1"/>
        </w:rPr>
        <w:t>)</w:t>
      </w:r>
      <w:r w:rsidRPr="002D7E9D">
        <w:rPr>
          <w:color w:val="000000" w:themeColor="text1"/>
        </w:rPr>
        <w:t xml:space="preserve">) was described as a series of Normal distributions with mean = </w:t>
      </w:r>
      <w:proofErr w:type="spellStart"/>
      <w:r w:rsidRPr="002D7E9D">
        <w:rPr>
          <w:rFonts w:eastAsia="MS Gothic"/>
          <w:color w:val="000000" w:themeColor="text1"/>
        </w:rPr>
        <w:t>μ</w:t>
      </w:r>
      <w:r w:rsidRPr="002D7E9D">
        <w:rPr>
          <w:rFonts w:eastAsia="MS Gothic"/>
          <w:color w:val="000000" w:themeColor="text1"/>
          <w:vertAlign w:val="subscript"/>
        </w:rPr>
        <w:t>s</w:t>
      </w:r>
      <w:proofErr w:type="spellEnd"/>
      <w:r w:rsidRPr="002D7E9D">
        <w:rPr>
          <w:rFonts w:eastAsia="MS Gothic"/>
          <w:color w:val="000000" w:themeColor="text1"/>
        </w:rPr>
        <w:t xml:space="preserve"> and standard deviation = </w:t>
      </w:r>
      <w:proofErr w:type="spellStart"/>
      <w:r w:rsidRPr="002D7E9D">
        <w:rPr>
          <w:rFonts w:eastAsia="MS Gothic"/>
          <w:color w:val="000000" w:themeColor="text1"/>
        </w:rPr>
        <w:t>σ</w:t>
      </w:r>
      <w:r w:rsidRPr="002D7E9D">
        <w:rPr>
          <w:rFonts w:eastAsia="MS Gothic"/>
          <w:color w:val="000000" w:themeColor="text1"/>
          <w:vertAlign w:val="subscript"/>
        </w:rPr>
        <w:t>s</w:t>
      </w:r>
      <w:proofErr w:type="spellEnd"/>
      <w:r w:rsidRPr="002D7E9D">
        <w:rPr>
          <w:color w:val="000000" w:themeColor="text1"/>
        </w:rPr>
        <w:t>. Mean plant size</w:t>
      </w:r>
      <w:r w:rsidRPr="002D7E9D">
        <w:rPr>
          <w:color w:val="000000" w:themeColor="text1"/>
        </w:rPr>
        <w:softHyphen/>
      </w:r>
      <w:r w:rsidRPr="002D7E9D">
        <w:rPr>
          <w:i/>
          <w:iCs/>
          <w:color w:val="000000" w:themeColor="text1"/>
          <w:vertAlign w:val="subscript"/>
        </w:rPr>
        <w:t>t+1</w:t>
      </w:r>
      <w:r w:rsidRPr="002D7E9D">
        <w:rPr>
          <w:i/>
          <w:iCs/>
          <w:color w:val="000000" w:themeColor="text1"/>
        </w:rPr>
        <w:t xml:space="preserve"> </w:t>
      </w:r>
      <w:r w:rsidRPr="002D7E9D">
        <w:rPr>
          <w:color w:val="000000" w:themeColor="text1"/>
        </w:rPr>
        <w:t>(</w:t>
      </w:r>
      <w:proofErr w:type="spellStart"/>
      <w:r w:rsidRPr="002D7E9D">
        <w:rPr>
          <w:rFonts w:eastAsia="MS Gothic"/>
          <w:color w:val="000000" w:themeColor="text1"/>
        </w:rPr>
        <w:t>μ</w:t>
      </w:r>
      <w:r w:rsidRPr="002D7E9D">
        <w:rPr>
          <w:rFonts w:eastAsia="MS Gothic"/>
          <w:color w:val="000000" w:themeColor="text1"/>
          <w:vertAlign w:val="subscript"/>
        </w:rPr>
        <w:t>s</w:t>
      </w:r>
      <w:proofErr w:type="spellEnd"/>
      <w:r w:rsidRPr="002D7E9D">
        <w:rPr>
          <w:color w:val="000000" w:themeColor="text1"/>
        </w:rPr>
        <w:t>) was modeled as a function of</w:t>
      </w:r>
      <w:r w:rsidRPr="002D7E9D">
        <w:rPr>
          <w:i/>
          <w:iCs/>
          <w:color w:val="000000" w:themeColor="text1"/>
        </w:rPr>
        <w:t xml:space="preserve"> </w:t>
      </w:r>
      <w:proofErr w:type="spellStart"/>
      <w:r w:rsidRPr="002D7E9D">
        <w:rPr>
          <w:color w:val="000000" w:themeColor="text1"/>
        </w:rPr>
        <w:t>size</w:t>
      </w:r>
      <w:r w:rsidRPr="002D7E9D">
        <w:rPr>
          <w:color w:val="000000" w:themeColor="text1"/>
        </w:rPr>
        <w:softHyphen/>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using linear models with Gaussian error. The standard deviation of plant size</w:t>
      </w:r>
      <w:r w:rsidRPr="002D7E9D">
        <w:rPr>
          <w:color w:val="000000" w:themeColor="text1"/>
        </w:rPr>
        <w:softHyphen/>
      </w:r>
      <w:r w:rsidRPr="002D7E9D">
        <w:rPr>
          <w:i/>
          <w:iCs/>
          <w:color w:val="000000" w:themeColor="text1"/>
          <w:vertAlign w:val="subscript"/>
        </w:rPr>
        <w:t>t+1</w:t>
      </w:r>
      <w:r w:rsidRPr="002D7E9D">
        <w:rPr>
          <w:i/>
          <w:iCs/>
          <w:color w:val="000000" w:themeColor="text1"/>
        </w:rPr>
        <w:t xml:space="preserve"> </w:t>
      </w:r>
      <w:r w:rsidRPr="002D7E9D">
        <w:rPr>
          <w:color w:val="000000" w:themeColor="text1"/>
        </w:rPr>
        <w:t>(</w:t>
      </w:r>
      <w:proofErr w:type="spellStart"/>
      <w:r w:rsidRPr="002D7E9D">
        <w:rPr>
          <w:rFonts w:eastAsia="MS Gothic"/>
          <w:color w:val="000000" w:themeColor="text1"/>
        </w:rPr>
        <w:t>σ</w:t>
      </w:r>
      <w:r w:rsidRPr="002D7E9D">
        <w:rPr>
          <w:rFonts w:eastAsia="MS Gothic"/>
          <w:color w:val="000000" w:themeColor="text1"/>
          <w:vertAlign w:val="subscript"/>
        </w:rPr>
        <w:t>s</w:t>
      </w:r>
      <w:proofErr w:type="spellEnd"/>
      <w:r w:rsidRPr="002D7E9D">
        <w:rPr>
          <w:color w:val="000000" w:themeColor="text1"/>
        </w:rPr>
        <w:t xml:space="preserve">) was the residual standard error of these linear models, which we assumed to be </w:t>
      </w:r>
      <w:r w:rsidRPr="002D7E9D">
        <w:rPr>
          <w:color w:val="000000" w:themeColor="text1"/>
        </w:rPr>
        <w:lastRenderedPageBreak/>
        <w:t>constant. The distributions of recruit size in the next year (</w:t>
      </w:r>
      <w:r w:rsidRPr="002D7E9D">
        <w:rPr>
          <w:i/>
          <w:iCs/>
          <w:color w:val="000000" w:themeColor="text1"/>
        </w:rPr>
        <w:t>c</w:t>
      </w:r>
      <w:r w:rsidRPr="002D7E9D">
        <w:rPr>
          <w:i/>
          <w:iCs/>
          <w:color w:val="000000" w:themeColor="text1"/>
          <w:vertAlign w:val="subscript"/>
        </w:rPr>
        <w:t>o</w:t>
      </w:r>
      <w:r w:rsidRPr="002D7E9D">
        <w:rPr>
          <w:color w:val="000000" w:themeColor="text1"/>
        </w:rPr>
        <w:t>(</w:t>
      </w:r>
      <w:r w:rsidRPr="002D7E9D">
        <w:rPr>
          <w:i/>
          <w:iCs/>
          <w:color w:val="000000" w:themeColor="text1"/>
        </w:rPr>
        <w:t>z’</w:t>
      </w:r>
      <w:r w:rsidRPr="002D7E9D">
        <w:rPr>
          <w:color w:val="000000" w:themeColor="text1"/>
        </w:rPr>
        <w:t xml:space="preserve">)) were described by Normal distributions with the mean </w:t>
      </w:r>
      <w:proofErr w:type="spellStart"/>
      <w:r w:rsidRPr="002D7E9D">
        <w:rPr>
          <w:rFonts w:eastAsia="MS Gothic"/>
          <w:color w:val="000000" w:themeColor="text1"/>
        </w:rPr>
        <w:t>μ</w:t>
      </w:r>
      <w:r w:rsidRPr="002D7E9D">
        <w:rPr>
          <w:rFonts w:eastAsia="MS Gothic"/>
          <w:color w:val="000000" w:themeColor="text1"/>
          <w:vertAlign w:val="subscript"/>
        </w:rPr>
        <w:t>r</w:t>
      </w:r>
      <w:proofErr w:type="spellEnd"/>
      <w:r w:rsidRPr="002D7E9D">
        <w:rPr>
          <w:rFonts w:eastAsia="MS Gothic"/>
          <w:color w:val="000000" w:themeColor="text1"/>
        </w:rPr>
        <w:t xml:space="preserve">, and the standard deviation </w:t>
      </w:r>
      <w:proofErr w:type="spellStart"/>
      <w:r w:rsidRPr="002D7E9D">
        <w:rPr>
          <w:rFonts w:eastAsia="MS Gothic"/>
          <w:color w:val="000000" w:themeColor="text1"/>
        </w:rPr>
        <w:t>σ</w:t>
      </w:r>
      <w:r w:rsidRPr="002D7E9D">
        <w:rPr>
          <w:rFonts w:eastAsia="MS Gothic"/>
          <w:color w:val="000000" w:themeColor="text1"/>
          <w:vertAlign w:val="subscript"/>
        </w:rPr>
        <w:t>r</w:t>
      </w:r>
      <w:proofErr w:type="spellEnd"/>
      <w:r w:rsidRPr="002D7E9D">
        <w:rPr>
          <w:rFonts w:eastAsia="MS Gothic"/>
          <w:color w:val="000000" w:themeColor="text1"/>
        </w:rPr>
        <w:t xml:space="preserve">. </w:t>
      </w:r>
      <w:proofErr w:type="spellStart"/>
      <w:r w:rsidRPr="002D7E9D">
        <w:rPr>
          <w:rFonts w:eastAsia="MS Gothic"/>
          <w:color w:val="000000" w:themeColor="text1"/>
        </w:rPr>
        <w:t>μ</w:t>
      </w:r>
      <w:r w:rsidRPr="002D7E9D">
        <w:rPr>
          <w:rFonts w:eastAsia="MS Gothic"/>
          <w:color w:val="000000" w:themeColor="text1"/>
          <w:vertAlign w:val="subscript"/>
        </w:rPr>
        <w:t>r</w:t>
      </w:r>
      <w:proofErr w:type="spellEnd"/>
      <w:r w:rsidRPr="002D7E9D">
        <w:rPr>
          <w:rFonts w:eastAsia="MS Gothic"/>
          <w:color w:val="000000" w:themeColor="text1"/>
          <w:vertAlign w:val="subscript"/>
        </w:rPr>
        <w:t xml:space="preserve"> </w:t>
      </w:r>
      <w:r w:rsidRPr="002D7E9D">
        <w:rPr>
          <w:rFonts w:eastAsia="MS Gothic"/>
          <w:color w:val="000000" w:themeColor="text1"/>
        </w:rPr>
        <w:t xml:space="preserve">and </w:t>
      </w:r>
      <w:proofErr w:type="spellStart"/>
      <w:r w:rsidRPr="002D7E9D">
        <w:rPr>
          <w:rFonts w:eastAsia="MS Gothic"/>
          <w:color w:val="000000" w:themeColor="text1"/>
        </w:rPr>
        <w:t>σ</w:t>
      </w:r>
      <w:r w:rsidRPr="002D7E9D">
        <w:rPr>
          <w:rFonts w:eastAsia="MS Gothic"/>
          <w:color w:val="000000" w:themeColor="text1"/>
          <w:vertAlign w:val="subscript"/>
        </w:rPr>
        <w:t>r</w:t>
      </w:r>
      <w:proofErr w:type="spellEnd"/>
      <w:r w:rsidRPr="002D7E9D">
        <w:rPr>
          <w:rFonts w:eastAsia="MS Gothic"/>
          <w:color w:val="000000" w:themeColor="text1"/>
        </w:rPr>
        <w:t xml:space="preserve"> were the mean and standard deviation of observed plant size in the next year.</w:t>
      </w:r>
    </w:p>
    <w:p w14:paraId="774CF2FF" w14:textId="77777777" w:rsidR="00450A49" w:rsidRPr="002D7E9D" w:rsidRDefault="00450A49" w:rsidP="00450A49">
      <w:pPr>
        <w:pStyle w:val="NormalWeb"/>
        <w:spacing w:line="360" w:lineRule="auto"/>
        <w:rPr>
          <w:rFonts w:eastAsia="MS Gothic"/>
          <w:color w:val="000000" w:themeColor="text1"/>
        </w:rPr>
      </w:pPr>
      <w:r w:rsidRPr="002D7E9D">
        <w:rPr>
          <w:rFonts w:eastAsia="MS Gothic"/>
          <w:noProof/>
          <w:color w:val="000000" w:themeColor="text1"/>
        </w:rPr>
        <w:drawing>
          <wp:inline distT="0" distB="0" distL="0" distR="0" wp14:anchorId="2616BA7A" wp14:editId="50FCA3E6">
            <wp:extent cx="5753100" cy="366760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54954" cy="3668783"/>
                    </a:xfrm>
                    <a:prstGeom prst="rect">
                      <a:avLst/>
                    </a:prstGeom>
                  </pic:spPr>
                </pic:pic>
              </a:graphicData>
            </a:graphic>
          </wp:inline>
        </w:drawing>
      </w:r>
      <w:r w:rsidRPr="002D7E9D">
        <w:rPr>
          <w:rFonts w:eastAsia="MS Gothic"/>
          <w:color w:val="000000" w:themeColor="text1"/>
        </w:rPr>
        <w:t xml:space="preserve">Figure 1. Diagram of the </w:t>
      </w:r>
      <w:r w:rsidRPr="002D7E9D">
        <w:rPr>
          <w:rFonts w:eastAsia="MS Gothic"/>
          <w:i/>
          <w:iCs/>
          <w:color w:val="000000" w:themeColor="text1"/>
        </w:rPr>
        <w:t>O. coloradensis</w:t>
      </w:r>
      <w:r w:rsidRPr="002D7E9D">
        <w:rPr>
          <w:rFonts w:eastAsia="MS Gothic"/>
          <w:color w:val="000000" w:themeColor="text1"/>
        </w:rPr>
        <w:t xml:space="preserve"> life-cycle, with transitions labeled with the notation used in IPM equations.  Based on model structures and notation from </w:t>
      </w:r>
      <w:proofErr w:type="spellStart"/>
      <w:r w:rsidRPr="002D7E9D">
        <w:rPr>
          <w:rFonts w:eastAsia="MS Gothic"/>
          <w:color w:val="000000" w:themeColor="text1"/>
        </w:rPr>
        <w:t>Paniw</w:t>
      </w:r>
      <w:proofErr w:type="spellEnd"/>
      <w:r w:rsidRPr="002D7E9D">
        <w:rPr>
          <w:rFonts w:eastAsia="MS Gothic"/>
          <w:color w:val="000000" w:themeColor="text1"/>
        </w:rPr>
        <w:t xml:space="preserve"> et al. </w:t>
      </w:r>
      <w:r w:rsidRPr="002D7E9D">
        <w:rPr>
          <w:rFonts w:eastAsia="MS Gothic"/>
          <w:color w:val="000000" w:themeColor="text1"/>
        </w:rPr>
        <w:fldChar w:fldCharType="begin" w:fldLock="1"/>
      </w:r>
      <w:r w:rsidRPr="002D7E9D">
        <w:rPr>
          <w:rFonts w:eastAsia="MS Gothic"/>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models","type":"article-journal","volume":"126"},"uris":["http://www.mendeley.com/documents/?uuid=43ed3b29-94b8-4286-8d6a-e2b7763b671f"]}],"mendeley":{"formattedCitation":"(Paniw et al. 2017)","manualFormatting":"(2017)","plainTextFormattedCitation":"(Paniw et al. 2017)","previouslyFormattedCitation":"(Paniw et al. 2017)"},"properties":{"noteIndex":0},"schema":"https://github.com/citation-style-language/schema/raw/master/csl-citation.json"}</w:instrText>
      </w:r>
      <w:r w:rsidRPr="002D7E9D">
        <w:rPr>
          <w:rFonts w:eastAsia="MS Gothic"/>
          <w:color w:val="000000" w:themeColor="text1"/>
        </w:rPr>
        <w:fldChar w:fldCharType="separate"/>
      </w:r>
      <w:r w:rsidRPr="002D7E9D">
        <w:rPr>
          <w:rFonts w:eastAsia="MS Gothic"/>
          <w:noProof/>
          <w:color w:val="000000" w:themeColor="text1"/>
        </w:rPr>
        <w:t>(2017)</w:t>
      </w:r>
      <w:r w:rsidRPr="002D7E9D">
        <w:rPr>
          <w:rFonts w:eastAsia="MS Gothic"/>
          <w:color w:val="000000" w:themeColor="text1"/>
        </w:rPr>
        <w:fldChar w:fldCharType="end"/>
      </w:r>
      <w:r w:rsidRPr="002D7E9D">
        <w:rPr>
          <w:rFonts w:eastAsia="MS Gothic"/>
          <w:color w:val="000000" w:themeColor="text1"/>
        </w:rPr>
        <w:t xml:space="preserve">,  </w:t>
      </w:r>
      <w:proofErr w:type="spellStart"/>
      <w:r w:rsidRPr="002D7E9D">
        <w:rPr>
          <w:rFonts w:eastAsia="MS Gothic"/>
          <w:color w:val="000000" w:themeColor="text1"/>
        </w:rPr>
        <w:t>Merow</w:t>
      </w:r>
      <w:proofErr w:type="spellEnd"/>
      <w:r w:rsidRPr="002D7E9D">
        <w:rPr>
          <w:rFonts w:eastAsia="MS Gothic"/>
          <w:color w:val="000000" w:themeColor="text1"/>
        </w:rPr>
        <w:t xml:space="preserve"> et al. </w:t>
      </w:r>
      <w:r w:rsidRPr="002D7E9D">
        <w:rPr>
          <w:rFonts w:eastAsia="MS Gothic"/>
          <w:color w:val="000000" w:themeColor="text1"/>
        </w:rPr>
        <w:fldChar w:fldCharType="begin" w:fldLock="1"/>
      </w:r>
      <w:r w:rsidRPr="002D7E9D">
        <w:rPr>
          <w:rFonts w:eastAsia="MS Gothic"/>
          <w:color w:val="000000" w:themeColor="text1"/>
        </w:rPr>
        <w:instrText>ADDIN CSL_CITATION {"citationItems":[{"id":"ITEM-1","itemData":{"DOI":"10.1111/2041-210X.12146","ISSN":"2041210X","abstract":"Summary: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 geographic distributions and life-history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 2013 British Ecological Society.","author":[{"dropping-particle":"","family":"Merow","given":"Cory","non-dropping-particle":"","parse-names":false,"suffix":""},{"dropping-particle":"","family":"Dahlgren","given":"Johan P.","non-dropping-particle":"","parse-names":false,"suffix":""},{"dropping-particle":"","family":"Metcalf","given":"C. Jessica E.","non-dropping-particle":"","parse-names":false,"suffix":""},{"dropping-particle":"","family":"Childs","given":"Dylan Z.","non-dropping-particle":"","parse-names":false,"suffix":""},{"dropping-particle":"","family":"Evans","given":"Margaret E.K.","non-dropping-particle":"","parse-names":false,"suffix":""},{"dropping-particle":"","family":"Jongejans","given":"Eelke","non-dropping-particle":"","parse-names":false,"suffix":""},{"dropping-particle":"","family":"Record","given":"Sydne","non-dropping-particle":"","parse-names":false,"suffix":""},{"dropping-particle":"","family":"Rees","given":"Mark","non-dropping-particle":"","parse-names":false,"suffix":""},{"dropping-particle":"","family":"Salguero-Gómez","given":"Roberto","non-dropping-particle":"","parse-names":false,"suffix":""},{"dropping-particle":"","family":"Mcmahon","given":"Sean M.","non-dropping-particle":"","parse-names":false,"suffix":""}],"container-title":"Methods in Ecology and Evolution","id":"ITEM-1","issue":"2","issued":{"date-parts":[["2014"]]},"page":"99-110","title":"Advancing population ecology with integral projection models: A practical guide","type":"article-journal","volume":"5"},"uris":["http://www.mendeley.com/documents/?uuid=4d4e2814-6184-4134-97b6-085a49350b14"]}],"mendeley":{"formattedCitation":"(Merow et al. 2014)","manualFormatting":"(2014)","plainTextFormattedCitation":"(Merow et al. 2014)","previouslyFormattedCitation":"(Merow et al. 2014)"},"properties":{"noteIndex":0},"schema":"https://github.com/citation-style-language/schema/raw/master/csl-citation.json"}</w:instrText>
      </w:r>
      <w:r w:rsidRPr="002D7E9D">
        <w:rPr>
          <w:rFonts w:eastAsia="MS Gothic"/>
          <w:color w:val="000000" w:themeColor="text1"/>
        </w:rPr>
        <w:fldChar w:fldCharType="separate"/>
      </w:r>
      <w:r w:rsidRPr="002D7E9D">
        <w:rPr>
          <w:rFonts w:eastAsia="MS Gothic"/>
          <w:noProof/>
          <w:color w:val="000000" w:themeColor="text1"/>
        </w:rPr>
        <w:t>(2014)</w:t>
      </w:r>
      <w:r w:rsidRPr="002D7E9D">
        <w:rPr>
          <w:rFonts w:eastAsia="MS Gothic"/>
          <w:color w:val="000000" w:themeColor="text1"/>
        </w:rPr>
        <w:fldChar w:fldCharType="end"/>
      </w:r>
      <w:r w:rsidRPr="002D7E9D">
        <w:rPr>
          <w:rFonts w:eastAsia="MS Gothic"/>
          <w:color w:val="000000" w:themeColor="text1"/>
        </w:rPr>
        <w:t xml:space="preserve">, and </w:t>
      </w:r>
      <w:proofErr w:type="spellStart"/>
      <w:r w:rsidRPr="002D7E9D">
        <w:rPr>
          <w:rFonts w:eastAsia="MS Gothic"/>
          <w:color w:val="000000" w:themeColor="text1"/>
        </w:rPr>
        <w:t>Ellner</w:t>
      </w:r>
      <w:proofErr w:type="spellEnd"/>
      <w:r w:rsidRPr="002D7E9D">
        <w:rPr>
          <w:rFonts w:eastAsia="MS Gothic"/>
          <w:color w:val="000000" w:themeColor="text1"/>
        </w:rPr>
        <w:t xml:space="preserve"> and Rees </w:t>
      </w:r>
      <w:r w:rsidRPr="002D7E9D">
        <w:rPr>
          <w:rFonts w:eastAsia="MS Gothic"/>
          <w:color w:val="000000" w:themeColor="text1"/>
        </w:rPr>
        <w:fldChar w:fldCharType="begin" w:fldLock="1"/>
      </w:r>
      <w:r w:rsidRPr="002D7E9D">
        <w:rPr>
          <w:rFonts w:eastAsia="MS Gothic"/>
          <w:color w:val="000000" w:themeColor="text1"/>
        </w:rPr>
        <w:instrText>ADDIN CSL_CITATION {"citationItems":[{"id":"ITEM-1","itemData":{"DOI":"10.1007/978-3-319-28893-2","ISBN":"978-3-319-28891-8","author":[{"dropping-particle":"","family":"Ellner","given":"Stephen P.","non-dropping-particle":"","parse-names":false,"suffix":""},{"dropping-particle":"","family":"Childs","given":"Dylan Z.","non-dropping-particle":"","parse-names":false,"suffix":""},{"dropping-particle":"","family":"Rees","given":"Mark","non-dropping-particle":"","parse-names":false,"suffix":""}],"collection-title":"Lecture Notes on Mathematical Modelling in the Life Sciences","id":"ITEM-1","issued":{"date-parts":[["2016"]]},"publisher":"Springer International Publishing","publisher-place":"Switzerland","title":"Data-driven Modelling of Structured Populations","type":"book"},"uris":["http://www.mendeley.com/documents/?uuid=b85ba009-3e7c-4277-aba9-2a8010a71f0b"]}],"mendeley":{"formattedCitation":"(Ellner et al. 2016)","manualFormatting":"(2016)","plainTextFormattedCitation":"(Ellner et al. 2016)","previouslyFormattedCitation":"(Ellner et al. 2016)"},"properties":{"noteIndex":0},"schema":"https://github.com/citation-style-language/schema/raw/master/csl-citation.json"}</w:instrText>
      </w:r>
      <w:r w:rsidRPr="002D7E9D">
        <w:rPr>
          <w:rFonts w:eastAsia="MS Gothic"/>
          <w:color w:val="000000" w:themeColor="text1"/>
        </w:rPr>
        <w:fldChar w:fldCharType="separate"/>
      </w:r>
      <w:r w:rsidRPr="002D7E9D">
        <w:rPr>
          <w:rFonts w:eastAsia="MS Gothic"/>
          <w:noProof/>
          <w:color w:val="000000" w:themeColor="text1"/>
        </w:rPr>
        <w:t>(2016)</w:t>
      </w:r>
      <w:r w:rsidRPr="002D7E9D">
        <w:rPr>
          <w:rFonts w:eastAsia="MS Gothic"/>
          <w:color w:val="000000" w:themeColor="text1"/>
        </w:rPr>
        <w:fldChar w:fldCharType="end"/>
      </w:r>
      <w:r w:rsidRPr="002D7E9D">
        <w:rPr>
          <w:rFonts w:eastAsia="MS Gothic"/>
          <w:color w:val="000000" w:themeColor="text1"/>
        </w:rPr>
        <w:t xml:space="preserve">. </w:t>
      </w:r>
    </w:p>
    <w:p w14:paraId="5E130BDC" w14:textId="77777777" w:rsidR="00450A49" w:rsidRPr="002D7E9D" w:rsidRDefault="00450A49" w:rsidP="00450A49">
      <w:pPr>
        <w:pStyle w:val="NormalWeb"/>
        <w:rPr>
          <w:color w:val="000000" w:themeColor="text1"/>
        </w:rPr>
      </w:pPr>
      <w:r w:rsidRPr="002D7E9D">
        <w:rPr>
          <w:color w:val="000000" w:themeColor="text1"/>
        </w:rPr>
        <w:t xml:space="preserve">Table 3. Description of vital rates used in </w:t>
      </w:r>
      <w:r w:rsidRPr="002D7E9D">
        <w:rPr>
          <w:i/>
          <w:iCs/>
          <w:color w:val="000000" w:themeColor="text1"/>
        </w:rPr>
        <w:t>O. coloradensis</w:t>
      </w:r>
      <w:r w:rsidRPr="002D7E9D">
        <w:rPr>
          <w:color w:val="000000" w:themeColor="text1"/>
        </w:rPr>
        <w:t xml:space="preserve"> IPMs </w:t>
      </w:r>
    </w:p>
    <w:tbl>
      <w:tblPr>
        <w:tblStyle w:val="TableGrid"/>
        <w:tblW w:w="0" w:type="auto"/>
        <w:tblLayout w:type="fixed"/>
        <w:tblLook w:val="04A0" w:firstRow="1" w:lastRow="0" w:firstColumn="1" w:lastColumn="0" w:noHBand="0" w:noVBand="1"/>
      </w:tblPr>
      <w:tblGrid>
        <w:gridCol w:w="1183"/>
        <w:gridCol w:w="2772"/>
        <w:gridCol w:w="4320"/>
      </w:tblGrid>
      <w:tr w:rsidR="00450A49" w:rsidRPr="00411D27" w14:paraId="11E9601D" w14:textId="77777777" w:rsidTr="00D74BE2">
        <w:tc>
          <w:tcPr>
            <w:tcW w:w="1183" w:type="dxa"/>
          </w:tcPr>
          <w:p w14:paraId="1BBACE11" w14:textId="77777777" w:rsidR="00450A49" w:rsidRPr="00411D27" w:rsidRDefault="00450A49" w:rsidP="00D74BE2">
            <w:pPr>
              <w:pStyle w:val="NormalWeb"/>
              <w:rPr>
                <w:color w:val="000000" w:themeColor="text1"/>
                <w:sz w:val="22"/>
                <w:szCs w:val="22"/>
              </w:rPr>
            </w:pPr>
            <w:r w:rsidRPr="00411D27">
              <w:rPr>
                <w:color w:val="000000" w:themeColor="text1"/>
                <w:sz w:val="22"/>
                <w:szCs w:val="22"/>
              </w:rPr>
              <w:t>Vital rate</w:t>
            </w:r>
          </w:p>
        </w:tc>
        <w:tc>
          <w:tcPr>
            <w:tcW w:w="2772" w:type="dxa"/>
          </w:tcPr>
          <w:p w14:paraId="68801F2A" w14:textId="77777777" w:rsidR="00450A49" w:rsidRPr="00411D27" w:rsidRDefault="00450A49" w:rsidP="00D74BE2">
            <w:pPr>
              <w:pStyle w:val="NormalWeb"/>
              <w:rPr>
                <w:color w:val="000000" w:themeColor="text1"/>
                <w:sz w:val="22"/>
                <w:szCs w:val="22"/>
              </w:rPr>
            </w:pPr>
            <w:r w:rsidRPr="00411D27">
              <w:rPr>
                <w:color w:val="000000" w:themeColor="text1"/>
                <w:sz w:val="22"/>
                <w:szCs w:val="22"/>
              </w:rPr>
              <w:t>Description</w:t>
            </w:r>
          </w:p>
        </w:tc>
        <w:tc>
          <w:tcPr>
            <w:tcW w:w="4320" w:type="dxa"/>
          </w:tcPr>
          <w:p w14:paraId="163888EB" w14:textId="77777777" w:rsidR="00450A49" w:rsidRPr="00411D27" w:rsidRDefault="00450A49" w:rsidP="00D74BE2">
            <w:pPr>
              <w:pStyle w:val="NormalWeb"/>
              <w:rPr>
                <w:color w:val="000000" w:themeColor="text1"/>
                <w:sz w:val="22"/>
                <w:szCs w:val="22"/>
              </w:rPr>
            </w:pPr>
            <w:r w:rsidRPr="00411D27">
              <w:rPr>
                <w:color w:val="000000" w:themeColor="text1"/>
                <w:sz w:val="22"/>
                <w:szCs w:val="22"/>
              </w:rPr>
              <w:t>Model</w:t>
            </w:r>
          </w:p>
        </w:tc>
      </w:tr>
      <w:tr w:rsidR="00450A49" w:rsidRPr="00411D27" w14:paraId="54FB293F" w14:textId="77777777" w:rsidTr="00D74BE2">
        <w:tc>
          <w:tcPr>
            <w:tcW w:w="1183" w:type="dxa"/>
          </w:tcPr>
          <w:p w14:paraId="4118E99D"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pEstab</w:t>
            </w:r>
            <w:proofErr w:type="spellEnd"/>
          </w:p>
        </w:tc>
        <w:tc>
          <w:tcPr>
            <w:tcW w:w="2772" w:type="dxa"/>
          </w:tcPr>
          <w:p w14:paraId="73C704E6" w14:textId="77777777" w:rsidR="00450A49" w:rsidRPr="00411D27" w:rsidRDefault="00450A49" w:rsidP="00D74BE2">
            <w:pPr>
              <w:pStyle w:val="NormalWeb"/>
              <w:rPr>
                <w:iCs/>
                <w:color w:val="000000" w:themeColor="text1"/>
                <w:sz w:val="22"/>
                <w:szCs w:val="22"/>
              </w:rPr>
            </w:pPr>
            <w:r w:rsidRPr="00411D27">
              <w:rPr>
                <w:i/>
                <w:iCs/>
                <w:color w:val="000000" w:themeColor="text1"/>
                <w:sz w:val="22"/>
                <w:szCs w:val="22"/>
              </w:rPr>
              <w:t>P</w:t>
            </w:r>
            <w:r w:rsidRPr="00411D27">
              <w:rPr>
                <w:iCs/>
                <w:color w:val="000000" w:themeColor="text1"/>
                <w:sz w:val="22"/>
                <w:szCs w:val="22"/>
              </w:rPr>
              <w:t>(</w:t>
            </w:r>
            <w:r w:rsidRPr="00411D27">
              <w:rPr>
                <w:color w:val="000000" w:themeColor="text1"/>
                <w:sz w:val="22"/>
                <w:szCs w:val="22"/>
              </w:rPr>
              <w:t xml:space="preserve">seed produced in </w:t>
            </w:r>
            <w:r w:rsidRPr="00411D27">
              <w:rPr>
                <w:i/>
                <w:iCs/>
                <w:color w:val="000000" w:themeColor="text1"/>
                <w:sz w:val="22"/>
                <w:szCs w:val="22"/>
              </w:rPr>
              <w:t>t</w:t>
            </w:r>
            <w:r w:rsidRPr="00411D27">
              <w:rPr>
                <w:color w:val="000000" w:themeColor="text1"/>
                <w:sz w:val="22"/>
                <w:szCs w:val="22"/>
              </w:rPr>
              <w:t xml:space="preserve"> establishes as a seedling in </w:t>
            </w:r>
            <w:r w:rsidRPr="00411D27">
              <w:rPr>
                <w:i/>
                <w:iCs/>
                <w:color w:val="000000" w:themeColor="text1"/>
                <w:sz w:val="22"/>
                <w:szCs w:val="22"/>
              </w:rPr>
              <w:t>t</w:t>
            </w:r>
            <w:r w:rsidRPr="00411D27">
              <w:rPr>
                <w:color w:val="000000" w:themeColor="text1"/>
                <w:sz w:val="22"/>
                <w:szCs w:val="22"/>
              </w:rPr>
              <w:t>+1)</w:t>
            </w:r>
          </w:p>
        </w:tc>
        <w:tc>
          <w:tcPr>
            <w:tcW w:w="4320" w:type="dxa"/>
          </w:tcPr>
          <w:p w14:paraId="3513D5BB"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pEstab</w:t>
            </w:r>
            <w:proofErr w:type="spellEnd"/>
            <w:r w:rsidRPr="00411D27">
              <w:rPr>
                <w:color w:val="000000" w:themeColor="text1"/>
                <w:sz w:val="22"/>
                <w:szCs w:val="22"/>
              </w:rPr>
              <w:t xml:space="preserve"> = </w:t>
            </w:r>
            <m:oMath>
              <m:f>
                <m:fPr>
                  <m:ctrlPr>
                    <w:rPr>
                      <w:rFonts w:ascii="Cambria Math" w:hAnsi="Cambria Math"/>
                      <w:i/>
                      <w:color w:val="000000" w:themeColor="text1"/>
                      <w:sz w:val="22"/>
                      <w:szCs w:val="22"/>
                    </w:rPr>
                  </m:ctrlPr>
                </m:fPr>
                <m:num>
                  <m:r>
                    <m:rPr>
                      <m:sty m:val="p"/>
                    </m:rPr>
                    <w:rPr>
                      <w:rFonts w:ascii="Cambria Math" w:hAnsi="Cambria Math"/>
                      <w:color w:val="000000" w:themeColor="text1"/>
                      <w:sz w:val="22"/>
                      <w:szCs w:val="22"/>
                    </w:rPr>
                    <m:t>Num.  new recruits in year</m:t>
                  </m:r>
                  <m:r>
                    <w:rPr>
                      <w:rFonts w:ascii="Cambria Math" w:hAnsi="Cambria Math"/>
                      <w:color w:val="000000" w:themeColor="text1"/>
                      <w:sz w:val="22"/>
                      <w:szCs w:val="22"/>
                    </w:rPr>
                    <m:t xml:space="preserve"> t+1 </m:t>
                  </m:r>
                </m:num>
                <m:den>
                  <m:r>
                    <m:rPr>
                      <m:sty m:val="p"/>
                    </m:rPr>
                    <w:rPr>
                      <w:rFonts w:ascii="Cambria Math" w:hAnsi="Cambria Math"/>
                      <w:color w:val="000000" w:themeColor="text1"/>
                      <w:sz w:val="22"/>
                      <w:szCs w:val="22"/>
                    </w:rPr>
                    <m:t>Num.  seeds produced in year</m:t>
                  </m:r>
                  <m:r>
                    <w:rPr>
                      <w:rFonts w:ascii="Cambria Math" w:hAnsi="Cambria Math"/>
                      <w:color w:val="000000" w:themeColor="text1"/>
                      <w:sz w:val="22"/>
                      <w:szCs w:val="22"/>
                    </w:rPr>
                    <m:t xml:space="preserve"> t</m:t>
                  </m:r>
                </m:den>
              </m:f>
            </m:oMath>
          </w:p>
        </w:tc>
      </w:tr>
      <w:tr w:rsidR="00450A49" w:rsidRPr="00411D27" w14:paraId="02FBB0A3" w14:textId="77777777" w:rsidTr="00D74BE2">
        <w:tc>
          <w:tcPr>
            <w:tcW w:w="1183" w:type="dxa"/>
          </w:tcPr>
          <w:p w14:paraId="426A2636"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goCont</w:t>
            </w:r>
            <w:proofErr w:type="spellEnd"/>
          </w:p>
        </w:tc>
        <w:tc>
          <w:tcPr>
            <w:tcW w:w="2772" w:type="dxa"/>
          </w:tcPr>
          <w:p w14:paraId="7D48B4AA" w14:textId="77777777" w:rsidR="00450A49" w:rsidRPr="00411D27" w:rsidRDefault="00450A49" w:rsidP="00D74BE2">
            <w:pPr>
              <w:pStyle w:val="NormalWeb"/>
              <w:rPr>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(seed produced in </w:t>
            </w:r>
            <w:r w:rsidRPr="00411D27">
              <w:rPr>
                <w:i/>
                <w:iCs/>
                <w:color w:val="000000" w:themeColor="text1"/>
                <w:sz w:val="22"/>
                <w:szCs w:val="22"/>
              </w:rPr>
              <w:t>t</w:t>
            </w:r>
            <w:r w:rsidRPr="00411D27">
              <w:rPr>
                <w:color w:val="000000" w:themeColor="text1"/>
                <w:sz w:val="22"/>
                <w:szCs w:val="22"/>
              </w:rPr>
              <w:t xml:space="preserve"> germinates in </w:t>
            </w:r>
            <w:r w:rsidRPr="00411D27">
              <w:rPr>
                <w:i/>
                <w:iCs/>
                <w:color w:val="000000" w:themeColor="text1"/>
                <w:sz w:val="22"/>
                <w:szCs w:val="22"/>
              </w:rPr>
              <w:t>t</w:t>
            </w:r>
            <w:r w:rsidRPr="00411D27">
              <w:rPr>
                <w:color w:val="000000" w:themeColor="text1"/>
                <w:sz w:val="22"/>
                <w:szCs w:val="22"/>
              </w:rPr>
              <w:t>+1)</w:t>
            </w:r>
          </w:p>
        </w:tc>
        <w:tc>
          <w:tcPr>
            <w:tcW w:w="4320" w:type="dxa"/>
          </w:tcPr>
          <w:p w14:paraId="6947CFCC" w14:textId="77777777" w:rsidR="00450A49" w:rsidRPr="00411D27" w:rsidRDefault="00450A49" w:rsidP="00D74BE2">
            <w:pPr>
              <w:pStyle w:val="NormalWeb"/>
              <w:rPr>
                <w:color w:val="000000" w:themeColor="text1"/>
                <w:sz w:val="22"/>
                <w:szCs w:val="22"/>
              </w:rPr>
            </w:pPr>
            <w:proofErr w:type="spellStart"/>
            <w:r w:rsidRPr="00411D27">
              <w:rPr>
                <w:i/>
                <w:iCs/>
                <w:color w:val="000000" w:themeColor="text1"/>
                <w:sz w:val="22"/>
                <w:szCs w:val="22"/>
              </w:rPr>
              <w:t>goCont</w:t>
            </w:r>
            <w:proofErr w:type="spellEnd"/>
            <w:r w:rsidRPr="00411D27">
              <w:rPr>
                <w:i/>
                <w:iCs/>
                <w:color w:val="000000" w:themeColor="text1"/>
                <w:sz w:val="22"/>
                <w:szCs w:val="22"/>
              </w:rPr>
              <w:t xml:space="preserve"> </w:t>
            </w:r>
            <w:r w:rsidRPr="00411D27">
              <w:rPr>
                <w:color w:val="000000" w:themeColor="text1"/>
                <w:sz w:val="22"/>
                <w:szCs w:val="22"/>
              </w:rPr>
              <w:t xml:space="preserve">= </w:t>
            </w:r>
            <w:proofErr w:type="spellStart"/>
            <w:r w:rsidRPr="00411D27">
              <w:rPr>
                <w:color w:val="000000" w:themeColor="text1"/>
                <w:sz w:val="22"/>
                <w:szCs w:val="22"/>
              </w:rPr>
              <w:t>viab</w:t>
            </w:r>
            <w:proofErr w:type="spellEnd"/>
            <w:r w:rsidRPr="00411D27">
              <w:rPr>
                <w:color w:val="000000" w:themeColor="text1"/>
                <w:sz w:val="22"/>
                <w:szCs w:val="22"/>
              </w:rPr>
              <w:t>. rate (germ. rate)</w:t>
            </w:r>
          </w:p>
        </w:tc>
      </w:tr>
      <w:tr w:rsidR="00450A49" w:rsidRPr="00411D27" w14:paraId="0C4D7F88" w14:textId="77777777" w:rsidTr="00D74BE2">
        <w:tc>
          <w:tcPr>
            <w:tcW w:w="1183" w:type="dxa"/>
          </w:tcPr>
          <w:p w14:paraId="0CB4036F"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outSB</w:t>
            </w:r>
            <w:proofErr w:type="spellEnd"/>
          </w:p>
        </w:tc>
        <w:tc>
          <w:tcPr>
            <w:tcW w:w="2772" w:type="dxa"/>
          </w:tcPr>
          <w:p w14:paraId="70F45EDD" w14:textId="77777777" w:rsidR="00450A49" w:rsidRPr="00411D27" w:rsidRDefault="00450A49" w:rsidP="00D74BE2">
            <w:pPr>
              <w:pStyle w:val="NormalWeb"/>
              <w:rPr>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(seedbank seed in </w:t>
            </w:r>
            <w:r w:rsidRPr="00411D27">
              <w:rPr>
                <w:i/>
                <w:iCs/>
                <w:color w:val="000000" w:themeColor="text1"/>
                <w:sz w:val="22"/>
                <w:szCs w:val="22"/>
              </w:rPr>
              <w:t>t</w:t>
            </w:r>
            <w:r w:rsidRPr="00411D27">
              <w:rPr>
                <w:color w:val="000000" w:themeColor="text1"/>
                <w:sz w:val="22"/>
                <w:szCs w:val="22"/>
              </w:rPr>
              <w:t xml:space="preserve"> germinates in </w:t>
            </w:r>
            <w:r w:rsidRPr="00411D27">
              <w:rPr>
                <w:i/>
                <w:iCs/>
                <w:color w:val="000000" w:themeColor="text1"/>
                <w:sz w:val="22"/>
                <w:szCs w:val="22"/>
              </w:rPr>
              <w:t>t</w:t>
            </w:r>
            <w:r w:rsidRPr="00411D27">
              <w:rPr>
                <w:color w:val="000000" w:themeColor="text1"/>
                <w:sz w:val="22"/>
                <w:szCs w:val="22"/>
              </w:rPr>
              <w:t>+1)</w:t>
            </w:r>
          </w:p>
        </w:tc>
        <w:tc>
          <w:tcPr>
            <w:tcW w:w="4320" w:type="dxa"/>
          </w:tcPr>
          <w:p w14:paraId="69E83531" w14:textId="77777777" w:rsidR="00450A49" w:rsidRPr="00411D27" w:rsidRDefault="00450A49" w:rsidP="00D74BE2">
            <w:pPr>
              <w:pStyle w:val="NormalWeb"/>
              <w:rPr>
                <w:color w:val="000000" w:themeColor="text1"/>
                <w:sz w:val="22"/>
                <w:szCs w:val="22"/>
              </w:rPr>
            </w:pPr>
            <w:proofErr w:type="spellStart"/>
            <w:r w:rsidRPr="00411D27">
              <w:rPr>
                <w:i/>
                <w:iCs/>
                <w:color w:val="000000" w:themeColor="text1"/>
                <w:sz w:val="22"/>
                <w:szCs w:val="22"/>
              </w:rPr>
              <w:t>outSB</w:t>
            </w:r>
            <w:proofErr w:type="spellEnd"/>
            <w:r w:rsidRPr="00411D27">
              <w:rPr>
                <w:color w:val="000000" w:themeColor="text1"/>
                <w:sz w:val="22"/>
                <w:szCs w:val="22"/>
              </w:rPr>
              <w:t xml:space="preserve"> = germ. rate (1 - death rate)</w:t>
            </w:r>
          </w:p>
        </w:tc>
      </w:tr>
      <w:tr w:rsidR="00450A49" w:rsidRPr="00411D27" w14:paraId="4F3F960E" w14:textId="77777777" w:rsidTr="00D74BE2">
        <w:tc>
          <w:tcPr>
            <w:tcW w:w="1183" w:type="dxa"/>
          </w:tcPr>
          <w:p w14:paraId="14223902"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goSB</w:t>
            </w:r>
            <w:proofErr w:type="spellEnd"/>
          </w:p>
        </w:tc>
        <w:tc>
          <w:tcPr>
            <w:tcW w:w="2772" w:type="dxa"/>
          </w:tcPr>
          <w:p w14:paraId="7FF1C8D4" w14:textId="77777777" w:rsidR="00450A49" w:rsidRPr="00411D27" w:rsidRDefault="00450A49" w:rsidP="00D74BE2">
            <w:pPr>
              <w:pStyle w:val="NormalWeb"/>
              <w:rPr>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(seed produced in </w:t>
            </w:r>
            <w:r w:rsidRPr="00411D27">
              <w:rPr>
                <w:i/>
                <w:iCs/>
                <w:color w:val="000000" w:themeColor="text1"/>
                <w:sz w:val="22"/>
                <w:szCs w:val="22"/>
              </w:rPr>
              <w:t>t</w:t>
            </w:r>
            <w:r w:rsidRPr="00411D27">
              <w:rPr>
                <w:color w:val="000000" w:themeColor="text1"/>
                <w:sz w:val="22"/>
                <w:szCs w:val="22"/>
              </w:rPr>
              <w:t xml:space="preserve"> goes to the seedbank in </w:t>
            </w:r>
            <w:r w:rsidRPr="00411D27">
              <w:rPr>
                <w:i/>
                <w:iCs/>
                <w:color w:val="000000" w:themeColor="text1"/>
                <w:sz w:val="22"/>
                <w:szCs w:val="22"/>
              </w:rPr>
              <w:t>t</w:t>
            </w:r>
            <w:r w:rsidRPr="00411D27">
              <w:rPr>
                <w:color w:val="000000" w:themeColor="text1"/>
                <w:sz w:val="22"/>
                <w:szCs w:val="22"/>
              </w:rPr>
              <w:t>+1)</w:t>
            </w:r>
          </w:p>
        </w:tc>
        <w:tc>
          <w:tcPr>
            <w:tcW w:w="4320" w:type="dxa"/>
          </w:tcPr>
          <w:p w14:paraId="79B27BAD" w14:textId="77777777" w:rsidR="00450A49" w:rsidRPr="00411D27" w:rsidRDefault="00450A49" w:rsidP="00D74BE2">
            <w:pPr>
              <w:pStyle w:val="NormalWeb"/>
              <w:rPr>
                <w:color w:val="000000" w:themeColor="text1"/>
                <w:sz w:val="22"/>
                <w:szCs w:val="22"/>
              </w:rPr>
            </w:pPr>
            <w:proofErr w:type="spellStart"/>
            <w:r w:rsidRPr="00411D27">
              <w:rPr>
                <w:i/>
                <w:iCs/>
                <w:color w:val="000000" w:themeColor="text1"/>
                <w:sz w:val="22"/>
                <w:szCs w:val="22"/>
              </w:rPr>
              <w:t>goSB</w:t>
            </w:r>
            <w:proofErr w:type="spellEnd"/>
            <w:r w:rsidRPr="00411D27">
              <w:rPr>
                <w:color w:val="000000" w:themeColor="text1"/>
                <w:sz w:val="22"/>
                <w:szCs w:val="22"/>
              </w:rPr>
              <w:t xml:space="preserve"> = </w:t>
            </w:r>
            <w:proofErr w:type="spellStart"/>
            <w:r w:rsidRPr="00411D27">
              <w:rPr>
                <w:color w:val="000000" w:themeColor="text1"/>
                <w:sz w:val="22"/>
                <w:szCs w:val="22"/>
              </w:rPr>
              <w:t>viab.rate</w:t>
            </w:r>
            <w:proofErr w:type="spellEnd"/>
            <w:r w:rsidRPr="00411D27">
              <w:rPr>
                <w:color w:val="000000" w:themeColor="text1"/>
                <w:sz w:val="22"/>
                <w:szCs w:val="22"/>
              </w:rPr>
              <w:t xml:space="preserve"> (1 - germ. rate) </w:t>
            </w:r>
          </w:p>
        </w:tc>
      </w:tr>
      <w:tr w:rsidR="00450A49" w:rsidRPr="00411D27" w14:paraId="1C34F2FF" w14:textId="77777777" w:rsidTr="00D74BE2">
        <w:tc>
          <w:tcPr>
            <w:tcW w:w="1183" w:type="dxa"/>
          </w:tcPr>
          <w:p w14:paraId="556C7AD1"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lastRenderedPageBreak/>
              <w:t>staySB</w:t>
            </w:r>
            <w:proofErr w:type="spellEnd"/>
          </w:p>
        </w:tc>
        <w:tc>
          <w:tcPr>
            <w:tcW w:w="2772" w:type="dxa"/>
          </w:tcPr>
          <w:p w14:paraId="3DB074B3" w14:textId="77777777" w:rsidR="00450A49" w:rsidRPr="00411D27" w:rsidRDefault="00450A49" w:rsidP="00D74BE2">
            <w:pPr>
              <w:pStyle w:val="NormalWeb"/>
              <w:rPr>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(seedbank seed in </w:t>
            </w:r>
            <w:r w:rsidRPr="00411D27">
              <w:rPr>
                <w:i/>
                <w:iCs/>
                <w:color w:val="000000" w:themeColor="text1"/>
                <w:sz w:val="22"/>
                <w:szCs w:val="22"/>
              </w:rPr>
              <w:t>t</w:t>
            </w:r>
            <w:r w:rsidRPr="00411D27">
              <w:rPr>
                <w:color w:val="000000" w:themeColor="text1"/>
                <w:sz w:val="22"/>
                <w:szCs w:val="22"/>
              </w:rPr>
              <w:t xml:space="preserve"> stays in the seedbank in </w:t>
            </w:r>
            <w:r w:rsidRPr="00411D27">
              <w:rPr>
                <w:i/>
                <w:iCs/>
                <w:color w:val="000000" w:themeColor="text1"/>
                <w:sz w:val="22"/>
                <w:szCs w:val="22"/>
              </w:rPr>
              <w:t>t</w:t>
            </w:r>
            <w:r w:rsidRPr="00411D27">
              <w:rPr>
                <w:color w:val="000000" w:themeColor="text1"/>
                <w:sz w:val="22"/>
                <w:szCs w:val="22"/>
              </w:rPr>
              <w:t>+1)</w:t>
            </w:r>
          </w:p>
        </w:tc>
        <w:tc>
          <w:tcPr>
            <w:tcW w:w="4320" w:type="dxa"/>
          </w:tcPr>
          <w:p w14:paraId="3579C986" w14:textId="77777777" w:rsidR="00450A49" w:rsidRPr="00411D27" w:rsidRDefault="00450A49" w:rsidP="00D74BE2">
            <w:pPr>
              <w:pStyle w:val="NormalWeb"/>
              <w:jc w:val="both"/>
              <w:rPr>
                <w:color w:val="000000" w:themeColor="text1"/>
                <w:sz w:val="22"/>
                <w:szCs w:val="22"/>
              </w:rPr>
            </w:pPr>
            <w:proofErr w:type="spellStart"/>
            <w:r w:rsidRPr="00411D27">
              <w:rPr>
                <w:i/>
                <w:iCs/>
                <w:color w:val="000000" w:themeColor="text1"/>
                <w:sz w:val="22"/>
                <w:szCs w:val="22"/>
              </w:rPr>
              <w:t>staySB</w:t>
            </w:r>
            <w:proofErr w:type="spellEnd"/>
            <w:r w:rsidRPr="00411D27">
              <w:rPr>
                <w:i/>
                <w:iCs/>
                <w:color w:val="000000" w:themeColor="text1"/>
                <w:sz w:val="22"/>
                <w:szCs w:val="22"/>
              </w:rPr>
              <w:t xml:space="preserve"> = </w:t>
            </w:r>
            <w:r w:rsidRPr="00411D27">
              <w:rPr>
                <w:color w:val="000000" w:themeColor="text1"/>
                <w:sz w:val="22"/>
                <w:szCs w:val="22"/>
              </w:rPr>
              <w:t>(1 - germ. rate) (1 -  death rate)</w:t>
            </w:r>
          </w:p>
        </w:tc>
      </w:tr>
      <w:tr w:rsidR="00450A49" w:rsidRPr="00411D27" w14:paraId="7243BDB2" w14:textId="77777777" w:rsidTr="00D74BE2">
        <w:tc>
          <w:tcPr>
            <w:tcW w:w="1183" w:type="dxa"/>
          </w:tcPr>
          <w:p w14:paraId="365AE7E5"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s</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w:t>
            </w:r>
          </w:p>
        </w:tc>
        <w:tc>
          <w:tcPr>
            <w:tcW w:w="2772" w:type="dxa"/>
          </w:tcPr>
          <w:p w14:paraId="587F0C10"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(survival from </w:t>
            </w:r>
            <w:r w:rsidRPr="00411D27">
              <w:rPr>
                <w:i/>
                <w:iCs/>
                <w:color w:val="000000" w:themeColor="text1"/>
                <w:sz w:val="22"/>
                <w:szCs w:val="22"/>
              </w:rPr>
              <w:t xml:space="preserve">t </w:t>
            </w:r>
            <w:r w:rsidRPr="00411D27">
              <w:rPr>
                <w:color w:val="000000" w:themeColor="text1"/>
                <w:sz w:val="22"/>
                <w:szCs w:val="22"/>
              </w:rPr>
              <w:t xml:space="preserve">to </w:t>
            </w:r>
            <w:r w:rsidRPr="00411D27">
              <w:rPr>
                <w:i/>
                <w:iCs/>
                <w:color w:val="000000" w:themeColor="text1"/>
                <w:sz w:val="22"/>
                <w:szCs w:val="22"/>
              </w:rPr>
              <w:t>t+1</w:t>
            </w:r>
            <w:r w:rsidRPr="00411D27">
              <w:rPr>
                <w:color w:val="000000" w:themeColor="text1"/>
                <w:sz w:val="22"/>
                <w:szCs w:val="22"/>
              </w:rPr>
              <w:t>)</w:t>
            </w:r>
          </w:p>
        </w:tc>
        <w:tc>
          <w:tcPr>
            <w:tcW w:w="4320" w:type="dxa"/>
          </w:tcPr>
          <w:p w14:paraId="1CFEB3C8" w14:textId="77777777" w:rsidR="00450A49" w:rsidRPr="00411D27" w:rsidRDefault="00450A49" w:rsidP="00D74BE2">
            <w:pPr>
              <w:pStyle w:val="NormalWeb"/>
              <w:jc w:val="both"/>
              <w:rPr>
                <w:i/>
                <w:iCs/>
                <w:color w:val="000000" w:themeColor="text1"/>
                <w:sz w:val="22"/>
                <w:szCs w:val="22"/>
              </w:rPr>
            </w:pPr>
            <w:r w:rsidRPr="00411D27">
              <w:rPr>
                <w:color w:val="000000" w:themeColor="text1"/>
                <w:sz w:val="22"/>
                <w:szCs w:val="22"/>
              </w:rPr>
              <w:t xml:space="preserve">logit(survival) ~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 </w:t>
            </w:r>
            <w:r w:rsidRPr="00411D27">
              <w:rPr>
                <w:rFonts w:eastAsia="MS Gothic"/>
                <w:color w:val="000000" w:themeColor="text1"/>
                <w:sz w:val="22"/>
                <w:szCs w:val="22"/>
              </w:rPr>
              <w:t>ε</w:t>
            </w:r>
          </w:p>
        </w:tc>
      </w:tr>
      <w:tr w:rsidR="00450A49" w:rsidRPr="00411D27" w14:paraId="60C9445F" w14:textId="77777777" w:rsidTr="00D74BE2">
        <w:tc>
          <w:tcPr>
            <w:tcW w:w="1183" w:type="dxa"/>
          </w:tcPr>
          <w:p w14:paraId="2BD13ECA"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Pb</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w:t>
            </w:r>
          </w:p>
        </w:tc>
        <w:tc>
          <w:tcPr>
            <w:tcW w:w="2772" w:type="dxa"/>
          </w:tcPr>
          <w:p w14:paraId="15629F3B"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(flowering in </w:t>
            </w:r>
            <w:r w:rsidRPr="00411D27">
              <w:rPr>
                <w:i/>
                <w:iCs/>
                <w:color w:val="000000" w:themeColor="text1"/>
                <w:sz w:val="22"/>
                <w:szCs w:val="22"/>
              </w:rPr>
              <w:t>t</w:t>
            </w:r>
            <w:r w:rsidRPr="00411D27">
              <w:rPr>
                <w:color w:val="000000" w:themeColor="text1"/>
                <w:sz w:val="22"/>
                <w:szCs w:val="22"/>
              </w:rPr>
              <w:t>)</w:t>
            </w:r>
          </w:p>
        </w:tc>
        <w:tc>
          <w:tcPr>
            <w:tcW w:w="4320" w:type="dxa"/>
          </w:tcPr>
          <w:p w14:paraId="038357BB" w14:textId="77777777" w:rsidR="00450A49" w:rsidRPr="00411D27" w:rsidRDefault="00450A49" w:rsidP="00D74BE2">
            <w:pPr>
              <w:pStyle w:val="NormalWeb"/>
              <w:jc w:val="both"/>
              <w:rPr>
                <w:i/>
                <w:iCs/>
                <w:color w:val="000000" w:themeColor="text1"/>
                <w:sz w:val="22"/>
                <w:szCs w:val="22"/>
              </w:rPr>
            </w:pPr>
            <w:r w:rsidRPr="00411D27">
              <w:rPr>
                <w:color w:val="000000" w:themeColor="text1"/>
                <w:sz w:val="22"/>
                <w:szCs w:val="22"/>
              </w:rPr>
              <w:t xml:space="preserve">logit(flowering) ~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2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w:t>
            </w:r>
            <w:r w:rsidRPr="00411D27">
              <w:rPr>
                <w:color w:val="000000" w:themeColor="text1"/>
                <w:sz w:val="22"/>
                <w:szCs w:val="22"/>
                <w:vertAlign w:val="superscript"/>
              </w:rPr>
              <w:t>2</w:t>
            </w:r>
            <w:r w:rsidRPr="00411D27">
              <w:rPr>
                <w:color w:val="000000" w:themeColor="text1"/>
                <w:sz w:val="22"/>
                <w:szCs w:val="22"/>
              </w:rPr>
              <w:t xml:space="preserve">) + </w:t>
            </w:r>
            <w:r w:rsidRPr="00411D27">
              <w:rPr>
                <w:rFonts w:eastAsia="MS Gothic"/>
                <w:color w:val="000000" w:themeColor="text1"/>
                <w:sz w:val="22"/>
                <w:szCs w:val="22"/>
              </w:rPr>
              <w:t>ε</w:t>
            </w:r>
          </w:p>
        </w:tc>
      </w:tr>
      <w:tr w:rsidR="00450A49" w:rsidRPr="00411D27" w14:paraId="34D46E75" w14:textId="77777777" w:rsidTr="00D74BE2">
        <w:tc>
          <w:tcPr>
            <w:tcW w:w="1183" w:type="dxa"/>
          </w:tcPr>
          <w:p w14:paraId="2450ED7E"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b</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w:t>
            </w:r>
          </w:p>
        </w:tc>
        <w:tc>
          <w:tcPr>
            <w:tcW w:w="2772" w:type="dxa"/>
          </w:tcPr>
          <w:p w14:paraId="4FB3D3B6" w14:textId="77777777" w:rsidR="00450A49" w:rsidRPr="00411D27" w:rsidRDefault="00450A49" w:rsidP="00D74BE2">
            <w:pPr>
              <w:pStyle w:val="NormalWeb"/>
              <w:rPr>
                <w:i/>
                <w:iCs/>
                <w:color w:val="000000" w:themeColor="text1"/>
                <w:sz w:val="22"/>
                <w:szCs w:val="22"/>
              </w:rPr>
            </w:pPr>
            <w:r w:rsidRPr="00411D27">
              <w:rPr>
                <w:color w:val="000000" w:themeColor="text1"/>
                <w:sz w:val="22"/>
                <w:szCs w:val="22"/>
              </w:rPr>
              <w:t xml:space="preserve">Seed production in </w:t>
            </w:r>
            <w:r w:rsidRPr="00411D27">
              <w:rPr>
                <w:i/>
                <w:iCs/>
                <w:color w:val="000000" w:themeColor="text1"/>
                <w:sz w:val="22"/>
                <w:szCs w:val="22"/>
              </w:rPr>
              <w:t>t</w:t>
            </w:r>
          </w:p>
        </w:tc>
        <w:tc>
          <w:tcPr>
            <w:tcW w:w="4320" w:type="dxa"/>
          </w:tcPr>
          <w:p w14:paraId="40CDDE42" w14:textId="77777777" w:rsidR="00450A49" w:rsidRPr="00411D27" w:rsidRDefault="00450A49" w:rsidP="00D74BE2">
            <w:pPr>
              <w:pStyle w:val="NormalWeb"/>
              <w:jc w:val="both"/>
              <w:rPr>
                <w:i/>
                <w:iCs/>
                <w:color w:val="000000" w:themeColor="text1"/>
                <w:sz w:val="22"/>
                <w:szCs w:val="22"/>
              </w:rPr>
            </w:pPr>
            <w:r w:rsidRPr="00411D27">
              <w:rPr>
                <w:color w:val="000000" w:themeColor="text1"/>
                <w:sz w:val="22"/>
                <w:szCs w:val="22"/>
              </w:rPr>
              <w:t xml:space="preserve">exp(seed number) ~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w:t>
            </w:r>
            <w:r w:rsidRPr="00411D27">
              <w:rPr>
                <w:rFonts w:eastAsia="MS Gothic"/>
                <w:color w:val="000000" w:themeColor="text1"/>
                <w:sz w:val="22"/>
                <w:szCs w:val="22"/>
              </w:rPr>
              <w:t>ε</w:t>
            </w:r>
          </w:p>
        </w:tc>
      </w:tr>
      <w:tr w:rsidR="00450A49" w:rsidRPr="00411D27" w14:paraId="5DBA59B9" w14:textId="77777777" w:rsidTr="00D74BE2">
        <w:tc>
          <w:tcPr>
            <w:tcW w:w="1183" w:type="dxa"/>
          </w:tcPr>
          <w:p w14:paraId="549E483B"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G</w:t>
            </w:r>
            <w:r w:rsidRPr="00411D27">
              <w:rPr>
                <w:color w:val="000000" w:themeColor="text1"/>
                <w:sz w:val="22"/>
                <w:szCs w:val="22"/>
              </w:rPr>
              <w:t>(</w:t>
            </w:r>
            <w:proofErr w:type="spellStart"/>
            <w:r w:rsidRPr="00411D27">
              <w:rPr>
                <w:i/>
                <w:iCs/>
                <w:color w:val="000000" w:themeColor="text1"/>
                <w:sz w:val="22"/>
                <w:szCs w:val="22"/>
              </w:rPr>
              <w:t>z’,z</w:t>
            </w:r>
            <w:proofErr w:type="spellEnd"/>
            <w:r w:rsidRPr="00411D27">
              <w:rPr>
                <w:color w:val="000000" w:themeColor="text1"/>
                <w:sz w:val="22"/>
                <w:szCs w:val="22"/>
              </w:rPr>
              <w:t>)</w:t>
            </w:r>
          </w:p>
        </w:tc>
        <w:tc>
          <w:tcPr>
            <w:tcW w:w="2772" w:type="dxa"/>
          </w:tcPr>
          <w:p w14:paraId="5745F572" w14:textId="77777777" w:rsidR="00450A49" w:rsidRPr="00411D27" w:rsidRDefault="00450A49" w:rsidP="00D74BE2">
            <w:pPr>
              <w:pStyle w:val="NormalWeb"/>
              <w:rPr>
                <w:i/>
                <w:iCs/>
                <w:color w:val="000000" w:themeColor="text1"/>
                <w:sz w:val="22"/>
                <w:szCs w:val="22"/>
              </w:rPr>
            </w:pPr>
            <w:r w:rsidRPr="00411D27">
              <w:rPr>
                <w:color w:val="000000" w:themeColor="text1"/>
                <w:sz w:val="22"/>
                <w:szCs w:val="22"/>
              </w:rPr>
              <w:t xml:space="preserve">Distribution of plant size in year </w:t>
            </w:r>
            <w:r w:rsidRPr="00411D27">
              <w:rPr>
                <w:i/>
                <w:iCs/>
                <w:color w:val="000000" w:themeColor="text1"/>
                <w:sz w:val="22"/>
                <w:szCs w:val="22"/>
              </w:rPr>
              <w:t>t</w:t>
            </w:r>
          </w:p>
        </w:tc>
        <w:tc>
          <w:tcPr>
            <w:tcW w:w="4320" w:type="dxa"/>
          </w:tcPr>
          <w:p w14:paraId="31E5F37A"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G</w:t>
            </w:r>
            <w:r w:rsidRPr="00411D27">
              <w:rPr>
                <w:color w:val="000000" w:themeColor="text1"/>
                <w:sz w:val="22"/>
                <w:szCs w:val="22"/>
              </w:rPr>
              <w:t>(</w:t>
            </w:r>
            <w:proofErr w:type="spellStart"/>
            <w:r w:rsidRPr="00411D27">
              <w:rPr>
                <w:i/>
                <w:iCs/>
                <w:color w:val="000000" w:themeColor="text1"/>
                <w:sz w:val="22"/>
                <w:szCs w:val="22"/>
              </w:rPr>
              <w:t>z’,z</w:t>
            </w:r>
            <w:proofErr w:type="spellEnd"/>
            <w:r w:rsidRPr="00411D27">
              <w:rPr>
                <w:color w:val="000000" w:themeColor="text1"/>
                <w:sz w:val="22"/>
                <w:szCs w:val="22"/>
              </w:rPr>
              <w:t xml:space="preserve">) = </w:t>
            </w:r>
            <w:r w:rsidRPr="00411D27">
              <w:rPr>
                <w:i/>
                <w:iCs/>
                <w:color w:val="000000" w:themeColor="text1"/>
                <w:sz w:val="22"/>
                <w:szCs w:val="22"/>
              </w:rPr>
              <w:t xml:space="preserve">N </w:t>
            </w:r>
            <w:r w:rsidRPr="00411D27">
              <w:rPr>
                <w:color w:val="000000" w:themeColor="text1"/>
                <w:sz w:val="22"/>
                <w:szCs w:val="22"/>
              </w:rPr>
              <w:t>(</w:t>
            </w:r>
            <w:proofErr w:type="spellStart"/>
            <w:r w:rsidRPr="00411D27">
              <w:rPr>
                <w:rFonts w:eastAsia="MS Gothic"/>
                <w:color w:val="000000" w:themeColor="text1"/>
                <w:sz w:val="22"/>
                <w:szCs w:val="22"/>
              </w:rPr>
              <w:t>μ</w:t>
            </w:r>
            <w:r w:rsidRPr="00411D27">
              <w:rPr>
                <w:rFonts w:eastAsia="MS Gothic"/>
                <w:color w:val="000000" w:themeColor="text1"/>
                <w:sz w:val="22"/>
                <w:szCs w:val="22"/>
                <w:vertAlign w:val="subscript"/>
              </w:rPr>
              <w:t>s</w:t>
            </w:r>
            <w:proofErr w:type="spellEnd"/>
            <w:r w:rsidRPr="00411D27">
              <w:rPr>
                <w:rFonts w:eastAsia="MS Gothic"/>
                <w:color w:val="000000" w:themeColor="text1"/>
                <w:sz w:val="22"/>
                <w:szCs w:val="22"/>
              </w:rPr>
              <w:t xml:space="preserve">, </w:t>
            </w:r>
            <w:proofErr w:type="spellStart"/>
            <w:r w:rsidRPr="00411D27">
              <w:rPr>
                <w:rFonts w:eastAsia="MS Gothic"/>
                <w:color w:val="000000" w:themeColor="text1"/>
                <w:sz w:val="22"/>
                <w:szCs w:val="22"/>
              </w:rPr>
              <w:t>σ</w:t>
            </w:r>
            <w:r w:rsidRPr="00411D27">
              <w:rPr>
                <w:rFonts w:eastAsia="MS Gothic"/>
                <w:color w:val="000000" w:themeColor="text1"/>
                <w:sz w:val="22"/>
                <w:szCs w:val="22"/>
                <w:vertAlign w:val="subscript"/>
              </w:rPr>
              <w:t>s</w:t>
            </w:r>
            <w:proofErr w:type="spellEnd"/>
            <w:r w:rsidRPr="00411D27">
              <w:rPr>
                <w:rFonts w:eastAsia="MS Gothic"/>
                <w:color w:val="000000" w:themeColor="text1"/>
                <w:sz w:val="22"/>
                <w:szCs w:val="22"/>
              </w:rPr>
              <w:t xml:space="preserve">);                                         </w:t>
            </w:r>
            <w:proofErr w:type="spellStart"/>
            <w:r w:rsidRPr="00411D27">
              <w:rPr>
                <w:rFonts w:eastAsia="MS Gothic"/>
                <w:color w:val="000000" w:themeColor="text1"/>
                <w:sz w:val="22"/>
                <w:szCs w:val="22"/>
              </w:rPr>
              <w:t>μ</w:t>
            </w:r>
            <w:r w:rsidRPr="00411D27">
              <w:rPr>
                <w:rFonts w:eastAsia="MS Gothic"/>
                <w:color w:val="000000" w:themeColor="text1"/>
                <w:sz w:val="22"/>
                <w:szCs w:val="22"/>
                <w:vertAlign w:val="subscript"/>
              </w:rPr>
              <w:t>s</w:t>
            </w:r>
            <w:proofErr w:type="spellEnd"/>
            <w:r w:rsidRPr="00411D27">
              <w:rPr>
                <w:rFonts w:eastAsia="MS Gothic"/>
                <w:color w:val="000000" w:themeColor="text1"/>
                <w:sz w:val="22"/>
                <w:szCs w:val="22"/>
                <w:vertAlign w:val="subscript"/>
              </w:rPr>
              <w:t xml:space="preserve"> </w:t>
            </w:r>
            <w:r w:rsidRPr="00411D27">
              <w:rPr>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 </w:t>
            </w:r>
            <w:r w:rsidRPr="00411D27">
              <w:rPr>
                <w:rFonts w:eastAsia="MS Gothic"/>
                <w:color w:val="000000" w:themeColor="text1"/>
                <w:sz w:val="22"/>
                <w:szCs w:val="22"/>
              </w:rPr>
              <w:t xml:space="preserve">ε ;                    </w:t>
            </w:r>
            <w:r>
              <w:rPr>
                <w:rFonts w:eastAsia="MS Gothic"/>
                <w:color w:val="000000" w:themeColor="text1"/>
                <w:sz w:val="22"/>
                <w:szCs w:val="22"/>
              </w:rPr>
              <w:t xml:space="preserve">       </w:t>
            </w:r>
            <w:proofErr w:type="spellStart"/>
            <w:r w:rsidRPr="00411D27">
              <w:rPr>
                <w:rFonts w:eastAsia="MS Gothic"/>
                <w:color w:val="000000" w:themeColor="text1"/>
                <w:sz w:val="22"/>
                <w:szCs w:val="22"/>
              </w:rPr>
              <w:t>σ</w:t>
            </w:r>
            <w:r w:rsidRPr="00411D27">
              <w:rPr>
                <w:rFonts w:eastAsia="MS Gothic"/>
                <w:color w:val="000000" w:themeColor="text1"/>
                <w:sz w:val="22"/>
                <w:szCs w:val="22"/>
                <w:vertAlign w:val="subscript"/>
              </w:rPr>
              <w:t>s</w:t>
            </w:r>
            <w:proofErr w:type="spellEnd"/>
            <w:r w:rsidRPr="00411D27">
              <w:rPr>
                <w:rFonts w:eastAsia="MS Gothic"/>
                <w:color w:val="000000" w:themeColor="text1"/>
                <w:sz w:val="22"/>
                <w:szCs w:val="22"/>
                <w:vertAlign w:val="superscript"/>
              </w:rPr>
              <w:t xml:space="preserve"> </w:t>
            </w:r>
            <w:r w:rsidRPr="00411D27">
              <w:rPr>
                <w:rFonts w:eastAsia="MS Gothic"/>
                <w:color w:val="000000" w:themeColor="text1"/>
                <w:sz w:val="22"/>
                <w:szCs w:val="22"/>
              </w:rPr>
              <w:t>~    RSE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 </w:t>
            </w:r>
            <w:r w:rsidRPr="00411D27">
              <w:rPr>
                <w:rFonts w:eastAsia="MS Gothic"/>
                <w:color w:val="000000" w:themeColor="text1"/>
                <w:sz w:val="22"/>
                <w:szCs w:val="22"/>
              </w:rPr>
              <w:t>ε)</w:t>
            </w:r>
          </w:p>
        </w:tc>
      </w:tr>
      <w:tr w:rsidR="00450A49" w:rsidRPr="00411D27" w14:paraId="62065A28" w14:textId="77777777" w:rsidTr="00D74BE2">
        <w:tc>
          <w:tcPr>
            <w:tcW w:w="1183" w:type="dxa"/>
          </w:tcPr>
          <w:p w14:paraId="5110F635"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c</w:t>
            </w:r>
            <w:r w:rsidRPr="00411D27">
              <w:rPr>
                <w:i/>
                <w:iCs/>
                <w:color w:val="000000" w:themeColor="text1"/>
                <w:sz w:val="22"/>
                <w:szCs w:val="22"/>
                <w:vertAlign w:val="subscript"/>
              </w:rPr>
              <w:t>o</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w:t>
            </w:r>
          </w:p>
        </w:tc>
        <w:tc>
          <w:tcPr>
            <w:tcW w:w="2772" w:type="dxa"/>
          </w:tcPr>
          <w:p w14:paraId="12C22D97" w14:textId="77777777" w:rsidR="00450A49" w:rsidRPr="00411D27" w:rsidRDefault="00450A49" w:rsidP="00D74BE2">
            <w:pPr>
              <w:pStyle w:val="NormalWeb"/>
              <w:rPr>
                <w:i/>
                <w:iCs/>
                <w:color w:val="000000" w:themeColor="text1"/>
                <w:sz w:val="22"/>
                <w:szCs w:val="22"/>
              </w:rPr>
            </w:pPr>
            <w:r w:rsidRPr="00411D27">
              <w:rPr>
                <w:color w:val="000000" w:themeColor="text1"/>
                <w:sz w:val="22"/>
                <w:szCs w:val="22"/>
              </w:rPr>
              <w:t xml:space="preserve">Distribution of new recruit size in year </w:t>
            </w:r>
            <w:r w:rsidRPr="00411D27">
              <w:rPr>
                <w:i/>
                <w:iCs/>
                <w:color w:val="000000" w:themeColor="text1"/>
                <w:sz w:val="22"/>
                <w:szCs w:val="22"/>
              </w:rPr>
              <w:t>t</w:t>
            </w:r>
          </w:p>
        </w:tc>
        <w:tc>
          <w:tcPr>
            <w:tcW w:w="4320" w:type="dxa"/>
          </w:tcPr>
          <w:p w14:paraId="3E5BC7A2"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c</w:t>
            </w:r>
            <w:r w:rsidRPr="00411D27">
              <w:rPr>
                <w:i/>
                <w:iCs/>
                <w:color w:val="000000" w:themeColor="text1"/>
                <w:sz w:val="22"/>
                <w:szCs w:val="22"/>
                <w:vertAlign w:val="subscript"/>
              </w:rPr>
              <w:t>o</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 xml:space="preserve">) = </w:t>
            </w:r>
            <w:r w:rsidRPr="00411D27">
              <w:rPr>
                <w:i/>
                <w:iCs/>
                <w:color w:val="000000" w:themeColor="text1"/>
                <w:sz w:val="22"/>
                <w:szCs w:val="22"/>
              </w:rPr>
              <w:t>N</w:t>
            </w:r>
            <w:r w:rsidRPr="00411D27">
              <w:rPr>
                <w:color w:val="000000" w:themeColor="text1"/>
                <w:sz w:val="22"/>
                <w:szCs w:val="22"/>
              </w:rPr>
              <w:t>(</w:t>
            </w:r>
            <w:proofErr w:type="spellStart"/>
            <w:r w:rsidRPr="00411D27">
              <w:rPr>
                <w:rFonts w:eastAsia="MS Gothic"/>
                <w:color w:val="000000" w:themeColor="text1"/>
                <w:sz w:val="22"/>
                <w:szCs w:val="22"/>
              </w:rPr>
              <w:t>μ</w:t>
            </w:r>
            <w:r w:rsidRPr="00411D27">
              <w:rPr>
                <w:rFonts w:eastAsia="MS Gothic"/>
                <w:color w:val="000000" w:themeColor="text1"/>
                <w:sz w:val="22"/>
                <w:szCs w:val="22"/>
                <w:vertAlign w:val="subscript"/>
              </w:rPr>
              <w:t>r</w:t>
            </w:r>
            <w:proofErr w:type="spellEnd"/>
            <w:r w:rsidRPr="00411D27">
              <w:rPr>
                <w:rFonts w:eastAsia="MS Gothic"/>
                <w:color w:val="000000" w:themeColor="text1"/>
                <w:sz w:val="22"/>
                <w:szCs w:val="22"/>
              </w:rPr>
              <w:t xml:space="preserve">, </w:t>
            </w:r>
            <w:proofErr w:type="spellStart"/>
            <w:r w:rsidRPr="00411D27">
              <w:rPr>
                <w:rFonts w:eastAsia="MS Gothic"/>
                <w:color w:val="000000" w:themeColor="text1"/>
                <w:sz w:val="22"/>
                <w:szCs w:val="22"/>
              </w:rPr>
              <w:t>σ</w:t>
            </w:r>
            <w:r w:rsidRPr="00411D27">
              <w:rPr>
                <w:rFonts w:eastAsia="MS Gothic"/>
                <w:color w:val="000000" w:themeColor="text1"/>
                <w:sz w:val="22"/>
                <w:szCs w:val="22"/>
                <w:vertAlign w:val="subscript"/>
              </w:rPr>
              <w:t>r</w:t>
            </w:r>
            <w:proofErr w:type="spellEnd"/>
            <w:r w:rsidRPr="00411D27">
              <w:rPr>
                <w:rFonts w:eastAsia="MS Gothic"/>
                <w:color w:val="000000" w:themeColor="text1"/>
                <w:sz w:val="22"/>
                <w:szCs w:val="22"/>
              </w:rPr>
              <w:t xml:space="preserve">);                                     </w:t>
            </w:r>
            <w:r>
              <w:rPr>
                <w:rFonts w:eastAsia="MS Gothic"/>
                <w:color w:val="000000" w:themeColor="text1"/>
                <w:sz w:val="22"/>
                <w:szCs w:val="22"/>
              </w:rPr>
              <w:t xml:space="preserve">        </w:t>
            </w:r>
            <w:r w:rsidRPr="00411D27">
              <w:rPr>
                <w:rFonts w:eastAsia="MS Gothic"/>
                <w:color w:val="000000" w:themeColor="text1"/>
                <w:sz w:val="22"/>
                <w:szCs w:val="22"/>
              </w:rPr>
              <w:t xml:space="preserve">  </w:t>
            </w:r>
            <w:proofErr w:type="spellStart"/>
            <w:r w:rsidRPr="00411D27">
              <w:rPr>
                <w:rFonts w:eastAsia="MS Gothic"/>
                <w:color w:val="000000" w:themeColor="text1"/>
                <w:sz w:val="22"/>
                <w:szCs w:val="22"/>
              </w:rPr>
              <w:t>μ</w:t>
            </w:r>
            <w:r w:rsidRPr="00411D27">
              <w:rPr>
                <w:rFonts w:eastAsia="MS Gothic"/>
                <w:color w:val="000000" w:themeColor="text1"/>
                <w:sz w:val="22"/>
                <w:szCs w:val="22"/>
                <w:vertAlign w:val="subscript"/>
              </w:rPr>
              <w:t>r</w:t>
            </w:r>
            <w:proofErr w:type="spellEnd"/>
            <w:r w:rsidRPr="00411D27">
              <w:rPr>
                <w:rFonts w:eastAsia="MS Gothic"/>
                <w:color w:val="000000" w:themeColor="text1"/>
                <w:sz w:val="22"/>
                <w:szCs w:val="22"/>
                <w:vertAlign w:val="subscript"/>
              </w:rPr>
              <w:t xml:space="preserve"> </w:t>
            </w:r>
            <w:r w:rsidRPr="00411D27">
              <w:rPr>
                <w:color w:val="000000" w:themeColor="text1"/>
                <w:sz w:val="22"/>
                <w:szCs w:val="22"/>
              </w:rPr>
              <w:t xml:space="preserve">=  </w:t>
            </w:r>
            <w:r w:rsidRPr="00411D27">
              <w:rPr>
                <w:rFonts w:eastAsia="Arial Unicode MS"/>
                <w:color w:val="000000" w:themeColor="text1"/>
                <w:sz w:val="22"/>
                <w:szCs w:val="22"/>
              </w:rPr>
              <w:t xml:space="preserve">mean (size of recruits in </w:t>
            </w:r>
            <w:r w:rsidRPr="00411D27">
              <w:rPr>
                <w:rFonts w:eastAsia="Arial Unicode MS"/>
                <w:i/>
                <w:iCs/>
                <w:color w:val="000000" w:themeColor="text1"/>
                <w:sz w:val="22"/>
                <w:szCs w:val="22"/>
              </w:rPr>
              <w:t>t</w:t>
            </w:r>
            <w:r w:rsidRPr="00411D27">
              <w:rPr>
                <w:rFonts w:eastAsia="Arial Unicode MS"/>
                <w:color w:val="000000" w:themeColor="text1"/>
                <w:sz w:val="22"/>
                <w:szCs w:val="22"/>
              </w:rPr>
              <w:t xml:space="preserve">)             </w:t>
            </w:r>
            <w:r>
              <w:rPr>
                <w:rFonts w:eastAsia="Arial Unicode MS"/>
                <w:color w:val="000000" w:themeColor="text1"/>
                <w:sz w:val="22"/>
                <w:szCs w:val="22"/>
              </w:rPr>
              <w:t xml:space="preserve">     </w:t>
            </w:r>
            <w:r w:rsidRPr="00411D27">
              <w:rPr>
                <w:rFonts w:eastAsia="Arial Unicode MS"/>
                <w:color w:val="000000" w:themeColor="text1"/>
                <w:sz w:val="22"/>
                <w:szCs w:val="22"/>
              </w:rPr>
              <w:t xml:space="preserve">    </w:t>
            </w:r>
            <w:proofErr w:type="spellStart"/>
            <w:r w:rsidRPr="00411D27">
              <w:rPr>
                <w:rFonts w:eastAsia="MS Gothic"/>
                <w:color w:val="000000" w:themeColor="text1"/>
                <w:sz w:val="22"/>
                <w:szCs w:val="22"/>
              </w:rPr>
              <w:t>σ</w:t>
            </w:r>
            <w:r w:rsidRPr="00411D27">
              <w:rPr>
                <w:rFonts w:eastAsia="MS Gothic"/>
                <w:color w:val="000000" w:themeColor="text1"/>
                <w:sz w:val="22"/>
                <w:szCs w:val="22"/>
                <w:vertAlign w:val="subscript"/>
              </w:rPr>
              <w:t>r</w:t>
            </w:r>
            <w:proofErr w:type="spellEnd"/>
            <w:r w:rsidRPr="00411D27">
              <w:rPr>
                <w:rFonts w:eastAsia="MS Gothic"/>
                <w:color w:val="000000" w:themeColor="text1"/>
                <w:sz w:val="22"/>
                <w:szCs w:val="22"/>
              </w:rPr>
              <w:t xml:space="preserve"> = </w:t>
            </w:r>
            <w:proofErr w:type="spellStart"/>
            <w:r w:rsidRPr="00411D27">
              <w:rPr>
                <w:rFonts w:eastAsia="MS Gothic"/>
                <w:color w:val="000000" w:themeColor="text1"/>
                <w:sz w:val="22"/>
                <w:szCs w:val="22"/>
              </w:rPr>
              <w:t>stnd</w:t>
            </w:r>
            <w:proofErr w:type="spellEnd"/>
            <w:r w:rsidRPr="00411D27">
              <w:rPr>
                <w:rFonts w:eastAsia="MS Gothic"/>
                <w:color w:val="000000" w:themeColor="text1"/>
                <w:sz w:val="22"/>
                <w:szCs w:val="22"/>
              </w:rPr>
              <w:t xml:space="preserve">. dev. (size of recruits in </w:t>
            </w:r>
            <w:r w:rsidRPr="00411D27">
              <w:rPr>
                <w:rFonts w:eastAsia="MS Gothic"/>
                <w:i/>
                <w:iCs/>
                <w:color w:val="000000" w:themeColor="text1"/>
                <w:sz w:val="22"/>
                <w:szCs w:val="22"/>
              </w:rPr>
              <w:t>t</w:t>
            </w:r>
            <w:r w:rsidRPr="00411D27">
              <w:rPr>
                <w:rFonts w:eastAsia="MS Gothic"/>
                <w:color w:val="000000" w:themeColor="text1"/>
                <w:sz w:val="22"/>
                <w:szCs w:val="22"/>
              </w:rPr>
              <w:t>)</w:t>
            </w:r>
          </w:p>
        </w:tc>
      </w:tr>
    </w:tbl>
    <w:p w14:paraId="28BD953D" w14:textId="77777777" w:rsidR="00450A49" w:rsidRPr="002D7E9D" w:rsidRDefault="00450A49" w:rsidP="00450A49">
      <w:pPr>
        <w:pStyle w:val="NormalWeb"/>
        <w:spacing w:line="480" w:lineRule="auto"/>
        <w:rPr>
          <w:color w:val="000000" w:themeColor="text1"/>
        </w:rPr>
      </w:pPr>
      <w:r w:rsidRPr="002D7E9D">
        <w:rPr>
          <w:color w:val="000000" w:themeColor="text1"/>
        </w:rPr>
        <w:t>* RSE = residual standard error</w:t>
      </w:r>
    </w:p>
    <w:p w14:paraId="0C12FD6F" w14:textId="77777777" w:rsidR="00450A49" w:rsidRPr="002D7E9D" w:rsidRDefault="00450A49" w:rsidP="00450A49">
      <w:pPr>
        <w:pStyle w:val="NormalWeb"/>
        <w:spacing w:line="480" w:lineRule="auto"/>
        <w:ind w:firstLine="360"/>
        <w:rPr>
          <w:i/>
          <w:iCs/>
          <w:color w:val="000000" w:themeColor="text1"/>
        </w:rPr>
      </w:pPr>
      <w:r w:rsidRPr="002D7E9D">
        <w:rPr>
          <w:color w:val="000000" w:themeColor="text1"/>
        </w:rPr>
        <w:t xml:space="preserve">We estimated discrete vital rates for seeds using data from both greenhouse and field-based germination and seed viability studies. Previously-published data from a greenhouse experiment using </w:t>
      </w:r>
      <w:r w:rsidRPr="002D7E9D">
        <w:rPr>
          <w:i/>
          <w:iCs/>
          <w:color w:val="000000" w:themeColor="text1"/>
        </w:rPr>
        <w:t>O. coloradensis</w:t>
      </w:r>
      <w:r w:rsidRPr="002D7E9D">
        <w:rPr>
          <w:color w:val="000000" w:themeColor="text1"/>
        </w:rPr>
        <w:t xml:space="preserve"> seed capsules collected from the FEWAFB populations determined that viable seeds had an average germination rate of 20.3% after cold-stratification, and did not identify a consistent decline in germination rate over five years </w:t>
      </w:r>
      <w:r w:rsidRPr="002D7E9D">
        <w:rPr>
          <w:color w:val="000000" w:themeColor="text1"/>
        </w:rPr>
        <w:fldChar w:fldCharType="begin" w:fldLock="1"/>
      </w:r>
      <w:r w:rsidRPr="002D7E9D">
        <w:rPr>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2D7E9D">
        <w:rPr>
          <w:color w:val="000000" w:themeColor="text1"/>
        </w:rPr>
        <w:fldChar w:fldCharType="separate"/>
      </w:r>
      <w:r w:rsidRPr="002D7E9D">
        <w:rPr>
          <w:noProof/>
          <w:color w:val="000000" w:themeColor="text1"/>
        </w:rPr>
        <w:t>(Burgess et al. 2005)</w:t>
      </w:r>
      <w:r w:rsidRPr="002D7E9D">
        <w:rPr>
          <w:color w:val="000000" w:themeColor="text1"/>
        </w:rPr>
        <w:fldChar w:fldCharType="end"/>
      </w:r>
      <w:r w:rsidRPr="002D7E9D">
        <w:rPr>
          <w:color w:val="000000" w:themeColor="text1"/>
        </w:rPr>
        <w:t xml:space="preserve">. This study also found that a seed capsule contained an average of 1.7 seeds, and that 58.5% of seeds produced were viable. We conducted an additional seed study to determine if overwintering in natural conditions lead to a lower germination rate than was identified in the previous greenhouse study. We buried 60 field-collected seed capsules in mesh bags at 6 locations near our demographic study plots at FEWAFB, and then recovered the seed bags after one winter. An average of 10% of seed capsules were not recoverable, likely because they were non-viable and withered away or were eaten. We planted the recovered capsules in standard greenhouse conditions, and found a mean germination rate of 6.8%. This germination rate was much lower than that identified by Burgess et al., however our seed study had a much smaller sample size, reducing the reliability of our result. However, it is still likely that true germination rates are much lower than those identified in greenhouse conditions, so we reduced the germination rate </w:t>
      </w:r>
      <w:r w:rsidRPr="002D7E9D">
        <w:rPr>
          <w:color w:val="000000" w:themeColor="text1"/>
        </w:rPr>
        <w:lastRenderedPageBreak/>
        <w:t>identified by Burgess et al. by 20%. The following parameters we used to estimate the discrete seed vital rate parameters: viable seed germination rate (germ. rate) = 0.16, viability rate of seeds produced by a parent plant (</w:t>
      </w:r>
      <w:proofErr w:type="spellStart"/>
      <w:r w:rsidRPr="002D7E9D">
        <w:rPr>
          <w:color w:val="000000" w:themeColor="text1"/>
        </w:rPr>
        <w:t>viab</w:t>
      </w:r>
      <w:proofErr w:type="spellEnd"/>
      <w:r w:rsidRPr="002D7E9D">
        <w:rPr>
          <w:color w:val="000000" w:themeColor="text1"/>
        </w:rPr>
        <w:t xml:space="preserve">. rate) = 0.58, rate of natural seed death in the seedbank (death rate) = 0.10. We did not have the data required to determine how these rates changed across subpopulations or in response to abiotic variation, so we used the same seed vital rates for all IPM models (Table 3).   </w:t>
      </w:r>
    </w:p>
    <w:p w14:paraId="4F914E9C" w14:textId="77777777" w:rsidR="00450A49" w:rsidRPr="002D7E9D" w:rsidRDefault="00450A49" w:rsidP="00450A49">
      <w:pPr>
        <w:pStyle w:val="NormalWeb"/>
        <w:spacing w:line="480" w:lineRule="auto"/>
        <w:ind w:firstLine="360"/>
        <w:rPr>
          <w:rFonts w:eastAsia="HGSMinchoE"/>
          <w:color w:val="000000" w:themeColor="text1"/>
        </w:rPr>
      </w:pPr>
      <w:r w:rsidRPr="002D7E9D">
        <w:rPr>
          <w:color w:val="000000" w:themeColor="text1"/>
        </w:rPr>
        <w:t xml:space="preserve">We used these vital rate functions and discrete parameters described above to construct discretized IPM kernels. All kernels were numerically implemented using the “midpoint rule” method </w:t>
      </w:r>
      <w:r w:rsidRPr="002D7E9D">
        <w:rPr>
          <w:color w:val="000000" w:themeColor="text1"/>
        </w:rPr>
        <w:fldChar w:fldCharType="begin" w:fldLock="1"/>
      </w:r>
      <w:r w:rsidRPr="002D7E9D">
        <w:rPr>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Pr="002D7E9D">
        <w:rPr>
          <w:color w:val="000000" w:themeColor="text1"/>
        </w:rPr>
        <w:fldChar w:fldCharType="separate"/>
      </w:r>
      <w:r w:rsidRPr="002D7E9D">
        <w:rPr>
          <w:noProof/>
          <w:color w:val="000000" w:themeColor="text1"/>
        </w:rPr>
        <w:t>(Easterling et al. 2000)</w:t>
      </w:r>
      <w:r w:rsidRPr="002D7E9D">
        <w:rPr>
          <w:color w:val="000000" w:themeColor="text1"/>
        </w:rPr>
        <w:fldChar w:fldCharType="end"/>
      </w:r>
      <w:r w:rsidRPr="002D7E9D">
        <w:rPr>
          <w:color w:val="000000" w:themeColor="text1"/>
        </w:rPr>
        <w:t xml:space="preserve"> with 500 bins, an upper size limit corresponding to 120% of the maximum observed plant size and a lower size limit corresponding to 80% of the minimum simulated seedling size of 0.1 cm. We then used eigen analysis of these kernels to estimate the asymptotic population growth rate (</w:t>
      </w:r>
      <w:r w:rsidRPr="002D7E9D">
        <w:rPr>
          <w:rFonts w:eastAsia="HGSMinchoE"/>
          <w:color w:val="000000" w:themeColor="text1"/>
        </w:rPr>
        <w:t xml:space="preserve">λ), damping ratio, stable size distribution, and reproductive value </w:t>
      </w:r>
      <w:r w:rsidRPr="002D7E9D">
        <w:rPr>
          <w:rFonts w:eastAsia="HGSMinchoE"/>
          <w:color w:val="000000" w:themeColor="text1"/>
        </w:rPr>
        <w:fldChar w:fldCharType="begin" w:fldLock="1"/>
      </w:r>
      <w:r w:rsidRPr="002D7E9D">
        <w:rPr>
          <w:rFonts w:eastAsia="HGSMinchoE"/>
          <w:color w:val="000000" w:themeColor="text1"/>
        </w:rPr>
        <w:instrText>ADDIN CSL_CITATION {"citationItems":[{"id":"ITEM-1","itemData":{"DOI":"10.1007/978-3-319-28893-2","ISBN":"978-3-319-28891-8","author":[{"dropping-particle":"","family":"Ellner","given":"Stephen P.","non-dropping-particle":"","parse-names":false,"suffix":""},{"dropping-particle":"","family":"Childs","given":"Dylan Z.","non-dropping-particle":"","parse-names":false,"suffix":""},{"dropping-particle":"","family":"Rees","given":"Mark","non-dropping-particle":"","parse-names":false,"suffix":""}],"collection-title":"Lecture Notes on Mathematical Modelling in the Life Sciences","id":"ITEM-1","issued":{"date-parts":[["2016"]]},"publisher":"Springer International Publishing","publisher-place":"Switzerland","title":"Data-driven Modelling of Structured Populations","type":"book"},"uris":["http://www.mendeley.com/documents/?uuid=b85ba009-3e7c-4277-aba9-2a8010a71f0b"]},{"id":"ITEM-2","itemData":{"ISBN":"978-0878930968","author":[{"dropping-particle":"","family":"Caswell","given":"Hal","non-dropping-particle":"","parse-names":false,"suffix":""}],"edition":"2nd","id":"ITEM-2","issued":{"date-parts":[["2001"]]},"publisher":"Sinauer Associates","title":"Matrix Population Models: Construction, Analysis, and Interpretation","type":"book"},"uris":["http://www.mendeley.com/documents/?uuid=e679d839-34d5-4731-9ad9-322e69687ab8"]}],"mendeley":{"formattedCitation":"(Caswell 2001, Ellner et al. 2016)","plainTextFormattedCitation":"(Caswell 2001, Ellner et al. 2016)","previouslyFormattedCitation":"(Caswell 2001, Ellner et al. 2016)"},"properties":{"noteIndex":0},"schema":"https://github.com/citation-style-language/schema/raw/master/csl-citation.json"}</w:instrText>
      </w:r>
      <w:r w:rsidRPr="002D7E9D">
        <w:rPr>
          <w:rFonts w:eastAsia="HGSMinchoE"/>
          <w:color w:val="000000" w:themeColor="text1"/>
        </w:rPr>
        <w:fldChar w:fldCharType="separate"/>
      </w:r>
      <w:r w:rsidRPr="002D7E9D">
        <w:rPr>
          <w:rFonts w:eastAsia="HGSMinchoE"/>
          <w:noProof/>
          <w:color w:val="000000" w:themeColor="text1"/>
        </w:rPr>
        <w:t>(Caswell 2001, Ellner et al. 2016)</w:t>
      </w:r>
      <w:r w:rsidRPr="002D7E9D">
        <w:rPr>
          <w:rFonts w:eastAsia="HGSMinchoE"/>
          <w:color w:val="000000" w:themeColor="text1"/>
        </w:rPr>
        <w:fldChar w:fldCharType="end"/>
      </w:r>
      <w:r w:rsidRPr="002D7E9D">
        <w:rPr>
          <w:rFonts w:eastAsia="HGSMinchoE"/>
          <w:color w:val="000000" w:themeColor="text1"/>
        </w:rPr>
        <w:t xml:space="preserve">. We used 1000 iterations of bootstrap resampling to estimate 95% bootstrap confidence intervals (95% CIs) for each continuous vital rate parameter included in each IPM, as well as each estimate of λ </w:t>
      </w:r>
      <w:r w:rsidRPr="002D7E9D">
        <w:rPr>
          <w:rFonts w:eastAsia="HGSMinchoE"/>
          <w:color w:val="000000" w:themeColor="text1"/>
        </w:rPr>
        <w:fldChar w:fldCharType="begin" w:fldLock="1"/>
      </w:r>
      <w:r w:rsidRPr="002D7E9D">
        <w:rPr>
          <w:rFonts w:eastAsia="HGSMinchoE"/>
          <w:color w:val="000000" w:themeColor="text1"/>
        </w:rPr>
        <w:instrText>ADDIN CSL_CITATION {"citationItems":[{"id":"ITEM-1","itemData":{"DOI":"10.7717/peerj.9089","ISSN":"21678359","abstract":"Ecological data often violate common assumptions of traditional parametric statistics (e.g., that residuals are Normally distributed, have constant variance, and cases are independent). Modern statistical methods are well equipped to handle these complications, but they can be challenging for non-statisticians to understand and implement. Rather than default to increasingly complex statistical methods, resampling-based methods can sometimes provide an alternative method for performing statistical inference, while also facilitating a deeper understanding of foundational concepts in frequentist statistics (e.g., sampling distributions, confidence intervals, p-values). Using simple examples and case studies, we demonstrate how resampling-based methods can help elucidate core statistical concepts and provide alternative methods for tackling challenging problems across a broad range of ecological applications.","author":[{"dropping-particle":"","family":"Fieberg","given":"John R.","non-dropping-particle":"","parse-names":false,"suffix":""},{"dropping-particle":"","family":"Vitense","given":"Kelsey","non-dropping-particle":"","parse-names":false,"suffix":""},{"dropping-particle":"","family":"Johnson","given":"Douglas H.","non-dropping-particle":"","parse-names":false,"suffix":""}],"container-title":"PeerJ","id":"ITEM-1","issue":"3","issued":{"date-parts":[["2020"]]},"title":"Resampling-based methods for biologists","type":"article-journal","volume":"2020"},"uris":["http://www.mendeley.com/documents/?uuid=fc8c5408-f4a9-4b40-a6a1-e8aaa75858aa"]},{"id":"ITEM-2","itemData":{"DOI":"10.1111/2041-210X.12146","ISSN":"2041210X","abstract":"Summary: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 geographic distributions and life-history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 2013 British Ecological Society.","author":[{"dropping-particle":"","family":"Merow","given":"Cory","non-dropping-particle":"","parse-names":false,"suffix":""},{"dropping-particle":"","family":"Dahlgren","given":"Johan P.","non-dropping-particle":"","parse-names":false,"suffix":""},{"dropping-particle":"","family":"Metcalf","given":"C. Jessica E.","non-dropping-particle":"","parse-names":false,"suffix":""},{"dropping-particle":"","family":"Childs","given":"Dylan Z.","non-dropping-particle":"","parse-names":false,"suffix":""},{"dropping-particle":"","family":"Evans","given":"Margaret E.K.","non-dropping-particle":"","parse-names":false,"suffix":""},{"dropping-particle":"","family":"Jongejans","given":"Eelke","non-dropping-particle":"","parse-names":false,"suffix":""},{"dropping-particle":"","family":"Record","given":"Sydne","non-dropping-particle":"","parse-names":false,"suffix":""},{"dropping-particle":"","family":"Rees","given":"Mark","non-dropping-particle":"","parse-names":false,"suffix":""},{"dropping-particle":"","family":"Salguero-Gómez","given":"Roberto","non-dropping-particle":"","parse-names":false,"suffix":""},{"dropping-particle":"","family":"Mcmahon","given":"Sean M.","non-dropping-particle":"","parse-names":false,"suffix":""}],"container-title":"Methods in Ecology and Evolution","id":"ITEM-2","issue":"2","issued":{"date-parts":[["2014"]]},"page":"99-110","title":"Advancing population ecology with integral projection models: A practical guide","type":"article-journal","volume":"5"},"uris":["http://www.mendeley.com/documents/?uuid=4d4e2814-6184-4134-97b6-085a49350b14"]}],"mendeley":{"formattedCitation":"(Merow et al. 2014, Fieberg et al. 2020)","plainTextFormattedCitation":"(Merow et al. 2014, Fieberg et al. 2020)","previouslyFormattedCitation":"(Merow et al. 2014, Fieberg et al. 2020)"},"properties":{"noteIndex":0},"schema":"https://github.com/citation-style-language/schema/raw/master/csl-citation.json"}</w:instrText>
      </w:r>
      <w:r w:rsidRPr="002D7E9D">
        <w:rPr>
          <w:rFonts w:eastAsia="HGSMinchoE"/>
          <w:color w:val="000000" w:themeColor="text1"/>
        </w:rPr>
        <w:fldChar w:fldCharType="separate"/>
      </w:r>
      <w:r w:rsidRPr="002D7E9D">
        <w:rPr>
          <w:rFonts w:eastAsia="HGSMinchoE"/>
          <w:noProof/>
          <w:color w:val="000000" w:themeColor="text1"/>
        </w:rPr>
        <w:t>(Merow et al. 2014, Fieberg et al. 2020)</w:t>
      </w:r>
      <w:r w:rsidRPr="002D7E9D">
        <w:rPr>
          <w:rFonts w:eastAsia="HGSMinchoE"/>
          <w:color w:val="000000" w:themeColor="text1"/>
        </w:rPr>
        <w:fldChar w:fldCharType="end"/>
      </w:r>
      <w:r w:rsidRPr="002D7E9D">
        <w:rPr>
          <w:rFonts w:eastAsia="HGSMinchoE"/>
          <w:color w:val="000000" w:themeColor="text1"/>
        </w:rPr>
        <w:t xml:space="preserve">.  We were unable to estimate CIs for discrete seedbank parameters because they were from a previous publication. We used perturbation analysis to determine the sensitivity and elasticity of λ to changes in germination rate, viability rate, seed survival rate, and each parameter in each continuous vital rate model </w:t>
      </w:r>
      <w:r w:rsidRPr="002D7E9D">
        <w:rPr>
          <w:rFonts w:eastAsia="HGSMinchoE"/>
          <w:color w:val="000000" w:themeColor="text1"/>
        </w:rPr>
        <w:fldChar w:fldCharType="begin" w:fldLock="1"/>
      </w:r>
      <w:r w:rsidRPr="002D7E9D">
        <w:rPr>
          <w:rFonts w:eastAsia="HGSMinchoE"/>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Pr="002D7E9D">
        <w:rPr>
          <w:rFonts w:eastAsia="HGSMinchoE"/>
          <w:color w:val="000000" w:themeColor="text1"/>
        </w:rPr>
        <w:fldChar w:fldCharType="separate"/>
      </w:r>
      <w:r w:rsidRPr="002D7E9D">
        <w:rPr>
          <w:rFonts w:eastAsia="HGSMinchoE"/>
          <w:noProof/>
          <w:color w:val="000000" w:themeColor="text1"/>
        </w:rPr>
        <w:t>(Morris and Doak 2002)</w:t>
      </w:r>
      <w:r w:rsidRPr="002D7E9D">
        <w:rPr>
          <w:rFonts w:eastAsia="HGSMinchoE"/>
          <w:color w:val="000000" w:themeColor="text1"/>
        </w:rPr>
        <w:fldChar w:fldCharType="end"/>
      </w:r>
      <w:r w:rsidRPr="002D7E9D">
        <w:rPr>
          <w:rFonts w:eastAsia="HGSMinchoE"/>
          <w:color w:val="000000" w:themeColor="text1"/>
        </w:rPr>
        <w:t xml:space="preserve">. We used the IPM with all data and no density dependence or environmental covariates (IPM “B”) for this analysis. All vital rate models and IPMs, as well as the information derived from them, were used to evaluate the importance of negative density dependence, demographic compensation, vital rate buffering, </w:t>
      </w:r>
      <w:r w:rsidRPr="002D7E9D">
        <w:rPr>
          <w:rFonts w:eastAsia="HGSMinchoE"/>
          <w:color w:val="000000" w:themeColor="text1"/>
        </w:rPr>
        <w:lastRenderedPageBreak/>
        <w:t xml:space="preserve">asynchronous responses, and source-sink dynamics for persistence of </w:t>
      </w:r>
      <w:r w:rsidRPr="002D7E9D">
        <w:rPr>
          <w:rFonts w:eastAsia="HGSMinchoE"/>
          <w:i/>
          <w:iCs/>
          <w:color w:val="000000" w:themeColor="text1"/>
        </w:rPr>
        <w:t>O. coloradensis</w:t>
      </w:r>
      <w:r w:rsidRPr="002D7E9D">
        <w:rPr>
          <w:rFonts w:eastAsia="HGSMinchoE"/>
          <w:color w:val="000000" w:themeColor="text1"/>
        </w:rPr>
        <w:t xml:space="preserve"> populations.  </w:t>
      </w:r>
    </w:p>
    <w:p w14:paraId="148194DC" w14:textId="77777777" w:rsidR="00450A49" w:rsidRPr="001626B1" w:rsidRDefault="00450A49" w:rsidP="00450A49">
      <w:pPr>
        <w:pStyle w:val="NormalWeb"/>
        <w:spacing w:line="480" w:lineRule="auto"/>
        <w:outlineLvl w:val="2"/>
        <w:rPr>
          <w:rFonts w:eastAsia="HGSMinchoE"/>
          <w:i/>
          <w:iCs/>
          <w:color w:val="000000" w:themeColor="text1"/>
        </w:rPr>
      </w:pPr>
      <w:bookmarkStart w:id="24" w:name="_Toc101229635"/>
      <w:bookmarkStart w:id="25" w:name="_Toc101544570"/>
      <w:r w:rsidRPr="001626B1">
        <w:rPr>
          <w:rFonts w:eastAsia="HGSMinchoE"/>
          <w:i/>
          <w:iCs/>
          <w:color w:val="000000" w:themeColor="text1"/>
        </w:rPr>
        <w:t>Objective 2: Evaluating Persistence Mechanisms</w:t>
      </w:r>
      <w:bookmarkEnd w:id="24"/>
      <w:bookmarkEnd w:id="25"/>
    </w:p>
    <w:p w14:paraId="4A387BC3" w14:textId="05B17348" w:rsidR="00450A49" w:rsidRPr="001626B1" w:rsidRDefault="00560EC5" w:rsidP="00450A49">
      <w:pPr>
        <w:pStyle w:val="NormalWeb"/>
        <w:spacing w:line="480" w:lineRule="auto"/>
        <w:outlineLvl w:val="3"/>
        <w:rPr>
          <w:rFonts w:eastAsia="HGSMinchoE"/>
          <w:i/>
          <w:iCs/>
          <w:color w:val="000000" w:themeColor="text1"/>
        </w:rPr>
      </w:pPr>
      <w:commentRangeStart w:id="26"/>
      <w:r w:rsidRPr="00A018BD">
        <w:rPr>
          <w:rFonts w:eastAsia="HGSMinchoE"/>
          <w:i/>
          <w:iCs/>
          <w:color w:val="000000" w:themeColor="text1"/>
        </w:rPr>
        <w:t>Negative Density Dependence</w:t>
      </w:r>
      <w:commentRangeEnd w:id="26"/>
      <w:r>
        <w:rPr>
          <w:rStyle w:val="CommentReference"/>
          <w:rFonts w:asciiTheme="minorHAnsi" w:eastAsiaTheme="minorHAnsi" w:hAnsiTheme="minorHAnsi" w:cstheme="minorBidi"/>
        </w:rPr>
        <w:commentReference w:id="26"/>
      </w:r>
      <w:r w:rsidR="00450A49" w:rsidRPr="001626B1">
        <w:rPr>
          <w:rFonts w:eastAsia="HGSMinchoE"/>
          <w:i/>
          <w:iCs/>
          <w:color w:val="000000" w:themeColor="text1"/>
        </w:rPr>
        <w:t>:</w:t>
      </w:r>
    </w:p>
    <w:p w14:paraId="73F0B863" w14:textId="77777777" w:rsidR="00450A49" w:rsidRPr="001626B1" w:rsidRDefault="00450A49" w:rsidP="00450A49">
      <w:pPr>
        <w:pStyle w:val="NormalWeb"/>
        <w:spacing w:line="480" w:lineRule="auto"/>
        <w:rPr>
          <w:rFonts w:eastAsia="HGSMinchoE"/>
          <w:color w:val="000000" w:themeColor="text1"/>
        </w:rPr>
      </w:pPr>
      <w:r w:rsidRPr="001626B1">
        <w:rPr>
          <w:rFonts w:eastAsia="HGSMinchoE"/>
          <w:i/>
          <w:iCs/>
          <w:color w:val="000000" w:themeColor="text1"/>
        </w:rPr>
        <w:t xml:space="preserve"> </w:t>
      </w:r>
      <w:r>
        <w:rPr>
          <w:rFonts w:eastAsia="HGSMinchoE"/>
          <w:i/>
          <w:iCs/>
          <w:color w:val="000000" w:themeColor="text1"/>
        </w:rPr>
        <w:tab/>
      </w:r>
      <w:r w:rsidRPr="001626B1">
        <w:rPr>
          <w:rFonts w:eastAsia="HGSMinchoE"/>
          <w:color w:val="000000" w:themeColor="text1"/>
        </w:rPr>
        <w:t xml:space="preserve">In order to determine the importance of density dependence in </w:t>
      </w:r>
      <w:r w:rsidRPr="001626B1">
        <w:rPr>
          <w:rFonts w:eastAsia="HGSMinchoE"/>
          <w:i/>
          <w:iCs/>
          <w:color w:val="000000" w:themeColor="text1"/>
        </w:rPr>
        <w:t>O. coloradensis</w:t>
      </w:r>
      <w:r w:rsidRPr="001626B1">
        <w:rPr>
          <w:rFonts w:eastAsia="HGSMinchoE"/>
          <w:color w:val="000000" w:themeColor="text1"/>
        </w:rPr>
        <w:t xml:space="preserve"> populations, we compared subpopulation-level, all-transition IPMs and vital rate functions that did and did not include population size in the current year as a covariate in vital rate models (density-independent IPMs: “C”-“H”; density-dependent IPMs: “I”-“N”). We used AIC to identify significant differences between vital rate models with and without density dependence terms. We also used results from subpopulation-level IPMs (IPMs CC-NN) for each transition to identify relationships between subpopulation size in year </w:t>
      </w:r>
      <w:r w:rsidRPr="001626B1">
        <w:rPr>
          <w:rFonts w:eastAsia="HGSMinchoE"/>
          <w:i/>
          <w:iCs/>
          <w:color w:val="000000" w:themeColor="text1"/>
        </w:rPr>
        <w:t xml:space="preserve">t </w:t>
      </w:r>
      <w:r w:rsidRPr="001626B1">
        <w:rPr>
          <w:rFonts w:eastAsia="HGSMinchoE"/>
          <w:color w:val="000000" w:themeColor="text1"/>
        </w:rPr>
        <w:t xml:space="preserve"> and </w:t>
      </w:r>
      <w:r>
        <w:rPr>
          <w:rFonts w:eastAsia="HGSMinchoE"/>
          <w:color w:val="000000" w:themeColor="text1"/>
        </w:rPr>
        <w:t>ln(</w:t>
      </w:r>
      <w:r w:rsidRPr="001626B1">
        <w:rPr>
          <w:rFonts w:eastAsia="HGSMinchoE"/>
          <w:color w:val="000000" w:themeColor="text1"/>
        </w:rPr>
        <w:t xml:space="preserve">λ) (as shown in Fig. 1), as well as subpopulation size in year </w:t>
      </w:r>
      <w:r w:rsidRPr="001626B1">
        <w:rPr>
          <w:rFonts w:eastAsia="HGSMinchoE"/>
          <w:i/>
          <w:iCs/>
          <w:color w:val="000000" w:themeColor="text1"/>
        </w:rPr>
        <w:t xml:space="preserve">t </w:t>
      </w:r>
      <w:r w:rsidRPr="001626B1">
        <w:rPr>
          <w:rFonts w:eastAsia="HGSMinchoE"/>
          <w:color w:val="000000" w:themeColor="text1"/>
        </w:rPr>
        <w:t xml:space="preserve">and the ratio of population size in year </w:t>
      </w:r>
      <w:r w:rsidRPr="001626B1">
        <w:rPr>
          <w:rFonts w:eastAsia="HGSMinchoE"/>
          <w:i/>
          <w:iCs/>
          <w:color w:val="000000" w:themeColor="text1"/>
        </w:rPr>
        <w:t>t+1</w:t>
      </w:r>
      <w:r w:rsidRPr="001626B1">
        <w:rPr>
          <w:rFonts w:eastAsia="HGSMinchoE"/>
          <w:color w:val="000000" w:themeColor="text1"/>
        </w:rPr>
        <w:t xml:space="preserve"> and subpopulation size in year </w:t>
      </w:r>
      <w:r w:rsidRPr="001626B1">
        <w:rPr>
          <w:rFonts w:eastAsia="HGSMinchoE"/>
          <w:i/>
          <w:iCs/>
          <w:color w:val="000000" w:themeColor="text1"/>
        </w:rPr>
        <w:t>t</w:t>
      </w:r>
      <w:r w:rsidRPr="001626B1">
        <w:rPr>
          <w:rFonts w:eastAsia="HGSMinchoE"/>
          <w:color w:val="000000" w:themeColor="text1"/>
        </w:rPr>
        <w:t xml:space="preserve">. In addition to population size information and </w:t>
      </w:r>
      <w:r>
        <w:rPr>
          <w:rFonts w:eastAsia="HGSMinchoE"/>
          <w:color w:val="000000" w:themeColor="text1"/>
        </w:rPr>
        <w:t>ln(</w:t>
      </w:r>
      <w:r w:rsidRPr="001626B1">
        <w:rPr>
          <w:rFonts w:eastAsia="HGSMinchoE"/>
          <w:color w:val="000000" w:themeColor="text1"/>
        </w:rPr>
        <w:t xml:space="preserve">λ) values from our IPMs, we also used population sizes and </w:t>
      </w:r>
      <w:r>
        <w:rPr>
          <w:rFonts w:eastAsia="HGSMinchoE"/>
          <w:color w:val="000000" w:themeColor="text1"/>
        </w:rPr>
        <w:t>ln(</w:t>
      </w:r>
      <w:r w:rsidRPr="001626B1">
        <w:rPr>
          <w:rFonts w:eastAsia="HGSMinchoE"/>
          <w:color w:val="000000" w:themeColor="text1"/>
        </w:rPr>
        <w:t xml:space="preserve">λ) values from a previously-published demographic study of </w:t>
      </w:r>
      <w:r w:rsidRPr="001626B1">
        <w:rPr>
          <w:rFonts w:eastAsia="HGSMinchoE"/>
          <w:i/>
          <w:iCs/>
          <w:color w:val="000000" w:themeColor="text1"/>
        </w:rPr>
        <w:t>O. coloradensis</w:t>
      </w:r>
      <w:r w:rsidRPr="001626B1">
        <w:rPr>
          <w:rFonts w:eastAsia="HGSMinchoE"/>
          <w:color w:val="000000" w:themeColor="text1"/>
        </w:rPr>
        <w:t xml:space="preserve"> at the three FEWAFB subpopulations that we also monitored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(Floyd and Ranker 1998)</w:t>
      </w:r>
      <w:r w:rsidRPr="001626B1">
        <w:rPr>
          <w:rFonts w:eastAsia="HGSMinchoE"/>
          <w:color w:val="000000" w:themeColor="text1"/>
        </w:rPr>
        <w:fldChar w:fldCharType="end"/>
      </w:r>
      <w:r w:rsidRPr="001626B1">
        <w:rPr>
          <w:rFonts w:eastAsia="HGSMinchoE"/>
          <w:color w:val="000000" w:themeColor="text1"/>
        </w:rPr>
        <w:t xml:space="preserve">.  A negative relationship between population size in year </w:t>
      </w:r>
      <w:r w:rsidRPr="001626B1">
        <w:rPr>
          <w:rFonts w:eastAsia="HGSMinchoE"/>
          <w:i/>
          <w:iCs/>
          <w:color w:val="000000" w:themeColor="text1"/>
        </w:rPr>
        <w:t>t</w:t>
      </w:r>
      <w:r w:rsidRPr="001626B1">
        <w:rPr>
          <w:rFonts w:eastAsia="HGSMinchoE"/>
          <w:color w:val="000000" w:themeColor="text1"/>
        </w:rPr>
        <w:t xml:space="preserve"> and either </w:t>
      </w:r>
      <w:r>
        <w:rPr>
          <w:rFonts w:eastAsia="HGSMinchoE"/>
          <w:color w:val="000000" w:themeColor="text1"/>
        </w:rPr>
        <w:t>ln(</w:t>
      </w:r>
      <w:r w:rsidRPr="001626B1">
        <w:rPr>
          <w:rFonts w:eastAsia="HGSMinchoE"/>
          <w:color w:val="000000" w:themeColor="text1"/>
        </w:rPr>
        <w:t xml:space="preserve">λ) or the ratio of population size in year </w:t>
      </w:r>
      <w:r w:rsidRPr="001626B1">
        <w:rPr>
          <w:rFonts w:eastAsia="HGSMinchoE"/>
          <w:i/>
          <w:iCs/>
          <w:color w:val="000000" w:themeColor="text1"/>
        </w:rPr>
        <w:t>t + 1</w:t>
      </w:r>
      <w:r w:rsidRPr="001626B1">
        <w:rPr>
          <w:rFonts w:eastAsia="HGSMinchoE"/>
          <w:color w:val="000000" w:themeColor="text1"/>
        </w:rPr>
        <w:t xml:space="preserve"> to population size in year </w:t>
      </w:r>
      <w:r w:rsidRPr="001626B1">
        <w:rPr>
          <w:rFonts w:eastAsia="HGSMinchoE"/>
          <w:i/>
          <w:iCs/>
          <w:color w:val="000000" w:themeColor="text1"/>
        </w:rPr>
        <w:t>t</w:t>
      </w:r>
      <w:r w:rsidRPr="001626B1">
        <w:rPr>
          <w:rFonts w:eastAsia="HGSMinchoE"/>
          <w:color w:val="000000" w:themeColor="text1"/>
        </w:rPr>
        <w:t xml:space="preserve"> would provide evidence for negative density dependence. Additionally, significant differences between models with and without population size predictor terms would constitute evidence for density dependence. </w:t>
      </w:r>
    </w:p>
    <w:p w14:paraId="74DE91EB" w14:textId="77777777" w:rsidR="00450A49" w:rsidRPr="001626B1" w:rsidRDefault="00450A49" w:rsidP="00450A49">
      <w:pPr>
        <w:pStyle w:val="NormalWeb"/>
        <w:spacing w:line="480" w:lineRule="auto"/>
        <w:outlineLvl w:val="3"/>
        <w:rPr>
          <w:rFonts w:eastAsia="HGSMinchoE"/>
          <w:i/>
          <w:iCs/>
          <w:color w:val="000000" w:themeColor="text1"/>
        </w:rPr>
      </w:pPr>
      <w:r w:rsidRPr="001626B1">
        <w:rPr>
          <w:rFonts w:eastAsia="HGSMinchoE"/>
          <w:i/>
          <w:iCs/>
          <w:color w:val="000000" w:themeColor="text1"/>
        </w:rPr>
        <w:t xml:space="preserve">Demographic Compensation: </w:t>
      </w:r>
    </w:p>
    <w:p w14:paraId="1990CA34" w14:textId="740629CE" w:rsidR="00450A49" w:rsidRPr="001626B1" w:rsidRDefault="00450A49" w:rsidP="00450A49">
      <w:pPr>
        <w:pStyle w:val="NormalWeb"/>
        <w:spacing w:line="480" w:lineRule="auto"/>
        <w:ind w:firstLine="720"/>
        <w:outlineLvl w:val="3"/>
        <w:rPr>
          <w:rFonts w:eastAsia="HGSMinchoE"/>
          <w:i/>
          <w:iCs/>
          <w:color w:val="000000" w:themeColor="text1"/>
        </w:rPr>
      </w:pPr>
      <w:r w:rsidRPr="001626B1">
        <w:rPr>
          <w:rFonts w:eastAsia="HGSMinchoE"/>
          <w:color w:val="000000" w:themeColor="text1"/>
        </w:rPr>
        <w:lastRenderedPageBreak/>
        <w:t xml:space="preserve">To test for demographic compensation, we calculated the correlation between environmental covariate coefficients in different vital rate models. A negative correlation between coefficients of the same covariate in different vital rate models indicated demographic compensation was taking place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implications?","type":"article-journal","volume":"18"},"uris":["http://www.mendeley.com/documents/?uuid=be9414d9-cd00-4b91-80d7-61996038ad79"]},{"id":"ITEM-2","itemData":{"DOI":"10.1002/ecm.1360","ISSN":"15577015","abstract":"The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Monographs","id":"ITEM-2","issue":"2","issued":{"date-parts":[["2019"]]},"page":"1-16","title":"Multiple mechanisms confer stability to isolated populations of a rare endemic plant","type":"article-journal","volume":"89"},"uris":["http://www.mendeley.com/documents/?uuid=657bb168-36a6-49a5-9886-9859d9fb8c3c"]}],"mendeley":{"formattedCitation":"(Villellas et al. 2015, Dibner et al. 2019)","plainTextFormattedCitation":"(Villellas et al. 2015, Dibner et al. 2019)","previouslyFormattedCitation":"(Villellas et al. 2015, Dibner et al. 2019)"},"properties":{"noteIndex":0},"schema":"https://github.com/citation-style-language/schema/raw/master/csl-citation.json"}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(Villellas et al. 2015, Dibner et al. 2019)</w:t>
      </w:r>
      <w:r w:rsidRPr="001626B1">
        <w:rPr>
          <w:rFonts w:eastAsia="HGSMinchoE"/>
          <w:color w:val="000000" w:themeColor="text1"/>
        </w:rPr>
        <w:fldChar w:fldCharType="end"/>
      </w:r>
      <w:r w:rsidRPr="001626B1">
        <w:rPr>
          <w:rFonts w:eastAsia="HGSMinchoE"/>
          <w:color w:val="000000" w:themeColor="text1"/>
        </w:rPr>
        <w:t xml:space="preserve">. For example, if soil moisture had a positive effect on growth but a negative effect on survival, this would be evidence for demographic compensation. </w:t>
      </w:r>
      <w:commentRangeStart w:id="27"/>
      <w:commentRangeStart w:id="28"/>
      <w:r w:rsidR="00560EC5" w:rsidRPr="00A018BD">
        <w:rPr>
          <w:rFonts w:eastAsia="HGSMinchoE"/>
          <w:color w:val="000000" w:themeColor="text1"/>
        </w:rPr>
        <w:t xml:space="preserve">For this correlation analysis </w:t>
      </w:r>
      <w:commentRangeEnd w:id="27"/>
      <w:r w:rsidR="00560EC5">
        <w:rPr>
          <w:rStyle w:val="CommentReference"/>
          <w:rFonts w:asciiTheme="minorHAnsi" w:eastAsiaTheme="minorHAnsi" w:hAnsiTheme="minorHAnsi" w:cstheme="minorBidi"/>
        </w:rPr>
        <w:commentReference w:id="27"/>
      </w:r>
      <w:commentRangeEnd w:id="28"/>
      <w:r w:rsidR="00560EC5">
        <w:rPr>
          <w:rStyle w:val="CommentReference"/>
          <w:rFonts w:asciiTheme="minorHAnsi" w:eastAsiaTheme="minorHAnsi" w:hAnsiTheme="minorHAnsi" w:cstheme="minorBidi"/>
        </w:rPr>
        <w:commentReference w:id="28"/>
      </w:r>
      <w:r w:rsidRPr="001626B1">
        <w:rPr>
          <w:rFonts w:eastAsia="HGSMinchoE"/>
          <w:color w:val="000000" w:themeColor="text1"/>
        </w:rPr>
        <w:t xml:space="preserve">we used vital rate models that were fit using data from each subpopulation and both transitions, and that included covariates for density dependence and all environmental covariates (vital rate models from IPMs “S”-“X”). We tested the significance of negative correlations between environmental covariate coefficients using a randomization procedure similar to that used by </w:t>
      </w:r>
      <w:proofErr w:type="spellStart"/>
      <w:r w:rsidRPr="001626B1">
        <w:rPr>
          <w:rFonts w:eastAsia="HGSMinchoE"/>
          <w:color w:val="000000" w:themeColor="text1"/>
        </w:rPr>
        <w:t>Villellas</w:t>
      </w:r>
      <w:proofErr w:type="spellEnd"/>
      <w:r w:rsidRPr="001626B1">
        <w:rPr>
          <w:rFonts w:eastAsia="HGSMinchoE"/>
          <w:color w:val="000000" w:themeColor="text1"/>
        </w:rPr>
        <w:t xml:space="preserve"> et al.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2015)","manualFormatting":"(2015)","plainTextFormattedCitation":"(Villellas et al. 2015)","previouslyFormattedCitation":"(Villellas et al. 2015)"},"properties":{"noteIndex":0},"schema":"https://github.com/citation-style-language/schema/raw/master/csl-citation.json"}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(2015)</w:t>
      </w:r>
      <w:r w:rsidRPr="001626B1">
        <w:rPr>
          <w:rFonts w:eastAsia="HGSMinchoE"/>
          <w:color w:val="000000" w:themeColor="text1"/>
        </w:rPr>
        <w:fldChar w:fldCharType="end"/>
      </w:r>
      <w:r w:rsidRPr="001626B1">
        <w:rPr>
          <w:rFonts w:eastAsia="HGSMinchoE"/>
          <w:color w:val="000000" w:themeColor="text1"/>
        </w:rPr>
        <w:t xml:space="preserve">, where we randomly assigned an environmental covariate coefficient drawn from the observed distribution of values for that coefficient to each vital rate function, calculated a correlation matrix between those coefficients in each vital rate function, and counted the number of negative correlations in that matrix. This procedure was repeated 10,000 times to generate a null distribution of the expected number of negative correlations between environmental coefficients that would occur randomly. We compared the observed number of negative correlations between each environmental covariate coefficient to these expected distributions of random correlations to determine statistical significance. We could not test for demographic compensation in discrete seedbank vital rate parameters because we did not know how they varied according to environmental conditions.  A significant negative correlation between environmental covariate coefficients in different vital rate models would provide evidence for demographic compensation (Fig. 1). </w:t>
      </w:r>
    </w:p>
    <w:p w14:paraId="62A9DAAC" w14:textId="77777777" w:rsidR="00450A49" w:rsidRPr="001626B1" w:rsidRDefault="00450A49" w:rsidP="00450A49">
      <w:pPr>
        <w:pStyle w:val="NormalWeb"/>
        <w:spacing w:line="480" w:lineRule="auto"/>
        <w:ind w:firstLine="720"/>
        <w:rPr>
          <w:rFonts w:eastAsia="HGSMinchoE"/>
          <w:i/>
          <w:iCs/>
          <w:color w:val="000000" w:themeColor="text1"/>
        </w:rPr>
      </w:pPr>
      <w:r w:rsidRPr="001626B1">
        <w:rPr>
          <w:rFonts w:eastAsia="HGSMinchoE"/>
          <w:color w:val="000000" w:themeColor="text1"/>
        </w:rPr>
        <w:lastRenderedPageBreak/>
        <w:t xml:space="preserve">To test for demographic compensation, we calculated the correlation between environmental covariate coefficients in different vital rate models. A negative correlation between coefficients of the same covariate in different vital rate models indicated demographic compensation was taking place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implications?","type":"article-journal","volume":"18"},"uris":["http://www.mendeley.com/documents/?uuid=be9414d9-cd00-4b91-80d7-61996038ad79"]},{"id":"ITEM-2","itemData":{"DOI":"10.1002/ecm.1360","ISSN":"15577015","abstract":"The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Monographs","id":"ITEM-2","issue":"2","issued":{"date-parts":[["2019"]]},"page":"1-16","title":"Multiple mechanisms confer stability to isolated populations of a rare endemic plant","type":"article-journal","volume":"89"},"uris":["http://www.mendeley.com/documents/?uuid=657bb168-36a6-49a5-9886-9859d9fb8c3c"]}],"mendeley":{"formattedCitation":"(Villellas et al. 2015, Dibner et al. 2019)","plainTextFormattedCitation":"(Villellas et al. 2015, Dibner et al. 2019)","previouslyFormattedCitation":"(Villellas et al. 2015, Dibner et al. 2019)"},"properties":{"noteIndex":0},"schema":"https://github.com/citation-style-language/schema/raw/master/csl-citation.json"}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(Villellas et al. 2015, Dibner et al. 2019)</w:t>
      </w:r>
      <w:r w:rsidRPr="001626B1">
        <w:rPr>
          <w:rFonts w:eastAsia="HGSMinchoE"/>
          <w:color w:val="000000" w:themeColor="text1"/>
        </w:rPr>
        <w:fldChar w:fldCharType="end"/>
      </w:r>
      <w:r w:rsidRPr="001626B1">
        <w:rPr>
          <w:rFonts w:eastAsia="HGSMinchoE"/>
          <w:color w:val="000000" w:themeColor="text1"/>
        </w:rPr>
        <w:t xml:space="preserve">. For example, if soil moisture had a positive effect on growth but a negative effect on survival, this would be evidence for demographic compensation. For this correlation analysis we used vital rate models that were fit using data from each subpopulation and both transitions, and that included covariates for density dependence and all environmental covariates (vital rate models from IPMs “S”-“X”). We tested the significance of negative correlations between environmental covariate coefficients using a randomization procedure similar to that used by </w:t>
      </w:r>
      <w:proofErr w:type="spellStart"/>
      <w:r w:rsidRPr="001626B1">
        <w:rPr>
          <w:rFonts w:eastAsia="HGSMinchoE"/>
          <w:color w:val="000000" w:themeColor="text1"/>
        </w:rPr>
        <w:t>Villellas</w:t>
      </w:r>
      <w:proofErr w:type="spellEnd"/>
      <w:r w:rsidRPr="001626B1">
        <w:rPr>
          <w:rFonts w:eastAsia="HGSMinchoE"/>
          <w:color w:val="000000" w:themeColor="text1"/>
        </w:rPr>
        <w:t xml:space="preserve"> et al.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2015)","manualFormatting":"(2015)","plainTextFormattedCitation":"(Villellas et al. 2015)","previouslyFormattedCitation":"(Villellas et al. 2015)"},"properties":{"noteIndex":0},"schema":"https://github.com/citation-style-language/schema/raw/master/csl-citation.json"}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(2015)</w:t>
      </w:r>
      <w:r w:rsidRPr="001626B1">
        <w:rPr>
          <w:rFonts w:eastAsia="HGSMinchoE"/>
          <w:color w:val="000000" w:themeColor="text1"/>
        </w:rPr>
        <w:fldChar w:fldCharType="end"/>
      </w:r>
      <w:r w:rsidRPr="001626B1">
        <w:rPr>
          <w:rFonts w:eastAsia="HGSMinchoE"/>
          <w:color w:val="000000" w:themeColor="text1"/>
        </w:rPr>
        <w:t>, where we randomly assigned an environmental covariate coefficient drawn from the observed distribution of values for that coefficient to each vital rate function, calculated a correlation matrix between those coefficients in each vital rate function, and counted the number of negative correlations in that matrix. This procedure was repeated 10,000 times to generate a null distribution of the expected number of negative correlations between environmental coefficients that would occur randomly. We compared the observed number of negative correlations between each environmental covariate coefficient to these expected distributions of random correlations to determine statistical significance. We could not test for demographic compensation in discrete seedbank vital rate parameters because we did not know how they varied according to environmental conditions.  A significant negative correlation between environmental covariate coefficients in different vital rate models would provide evidence for demographic compensation (Fig. 1).</w:t>
      </w:r>
    </w:p>
    <w:p w14:paraId="3715ACFD" w14:textId="2236106B" w:rsidR="00450A49" w:rsidRPr="001626B1" w:rsidRDefault="00560EC5" w:rsidP="00450A49">
      <w:pPr>
        <w:pStyle w:val="NormalWeb"/>
        <w:spacing w:line="480" w:lineRule="auto"/>
        <w:rPr>
          <w:rFonts w:eastAsia="HGSMinchoE"/>
          <w:iCs/>
          <w:color w:val="000000" w:themeColor="text1"/>
        </w:rPr>
      </w:pPr>
      <w:commentRangeStart w:id="29"/>
      <w:commentRangeStart w:id="30"/>
      <w:r w:rsidRPr="00A018BD">
        <w:rPr>
          <w:rFonts w:eastAsia="HGSMinchoE"/>
          <w:i/>
          <w:iCs/>
          <w:color w:val="000000" w:themeColor="text1"/>
        </w:rPr>
        <w:lastRenderedPageBreak/>
        <w:t>Vital Rate Buffering</w:t>
      </w:r>
      <w:commentRangeEnd w:id="29"/>
      <w:r>
        <w:rPr>
          <w:rStyle w:val="CommentReference"/>
          <w:rFonts w:asciiTheme="minorHAnsi" w:eastAsiaTheme="minorHAnsi" w:hAnsiTheme="minorHAnsi" w:cstheme="minorBidi"/>
        </w:rPr>
        <w:commentReference w:id="29"/>
      </w:r>
      <w:commentRangeEnd w:id="30"/>
      <w:r>
        <w:rPr>
          <w:rStyle w:val="CommentReference"/>
          <w:rFonts w:asciiTheme="minorHAnsi" w:eastAsiaTheme="minorHAnsi" w:hAnsiTheme="minorHAnsi" w:cstheme="minorBidi"/>
        </w:rPr>
        <w:commentReference w:id="30"/>
      </w:r>
      <w:r w:rsidRPr="00A018BD">
        <w:rPr>
          <w:rFonts w:eastAsia="HGSMinchoE"/>
          <w:i/>
          <w:iCs/>
          <w:color w:val="000000" w:themeColor="text1"/>
        </w:rPr>
        <w:t xml:space="preserve">: </w:t>
      </w:r>
      <w:r w:rsidR="00450A49" w:rsidRPr="001626B1">
        <w:rPr>
          <w:rFonts w:eastAsia="HGSMinchoE"/>
          <w:i/>
          <w:iCs/>
          <w:color w:val="000000" w:themeColor="text1"/>
        </w:rPr>
        <w:t xml:space="preserve"> </w:t>
      </w:r>
      <w:r w:rsidR="00450A49">
        <w:rPr>
          <w:rFonts w:eastAsia="HGSMinchoE"/>
          <w:i/>
          <w:iCs/>
          <w:color w:val="000000" w:themeColor="text1"/>
        </w:rPr>
        <w:tab/>
      </w:r>
      <w:r w:rsidR="00450A49" w:rsidRPr="001626B1">
        <w:rPr>
          <w:rFonts w:eastAsia="HGSMinchoE"/>
          <w:iCs/>
          <w:color w:val="000000" w:themeColor="text1"/>
        </w:rPr>
        <w:t xml:space="preserve">We tested for the presence of vital rate buffering in </w:t>
      </w:r>
      <w:r w:rsidR="00450A49" w:rsidRPr="001626B1">
        <w:rPr>
          <w:rFonts w:eastAsia="HGSMinchoE"/>
          <w:i/>
          <w:color w:val="000000" w:themeColor="text1"/>
        </w:rPr>
        <w:t>O. coloradensis</w:t>
      </w:r>
      <w:r w:rsidR="00450A49" w:rsidRPr="001626B1">
        <w:rPr>
          <w:rFonts w:eastAsia="HGSMinchoE"/>
          <w:iCs/>
          <w:color w:val="000000" w:themeColor="text1"/>
        </w:rPr>
        <w:t xml:space="preserve"> populations by comparing the quartile coefficient of variation of each vital rate parameter to the absolute value of its elasticity </w:t>
      </w:r>
      <w:r w:rsidR="00450A49" w:rsidRPr="001626B1">
        <w:rPr>
          <w:rFonts w:eastAsia="HGSMinchoE"/>
          <w:iCs/>
          <w:color w:val="000000" w:themeColor="text1"/>
        </w:rPr>
        <w:fldChar w:fldCharType="begin" w:fldLock="1"/>
      </w:r>
      <w:r w:rsidR="00450A49" w:rsidRPr="001626B1">
        <w:rPr>
          <w:rFonts w:eastAsia="HGSMinchoE"/>
          <w:iCs/>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implications","type":"article-journal","volume":"95"},"uris":["http://www.mendeley.com/documents/?uuid=452ce167-3dd0-42a7-be72-ca2d9710ab25"]},{"id":"ITEM-2","itemData":{"DOI":"10.1086/382550","ISSN":"00030147","PMID":"15122504","abstract":"Life-history theory predicts vital rates that on average make large contributions to the annual multiplication rate of a lineage should be highly buffered against environmental variability. This prediction has been tested by looking for a negative correlation between the sensitivities (or elasticities) of the elements in a projection matrix and their variances (or coefficients of variation). Here, we show by constructing random matrices that a spurious negative correlation exists between the sensitivities and variances, and between the elasticities and coefficients of variation, of matrix elements. This spurious correlation arises in part because size transition probabilities, which are bounded by 0 and 1, have a limit to their variability that often does not apply to matrix elements representing reproduction. We advocate an alternative analysis based on the underlying vital rates (not the matrix elements) that accounts for the inherent limit to the variability of zero-to-one vital rates, corrects for sampling variation, and tests for a declining upper limit to variability as a vital rate's fitness contribution increases. Applying this analysis to demographic data from five populations of the alpine cushion plant Silene acaulis, we provide evidence of stronger buffering in the vital rates that most influence fitness.","author":[{"dropping-particle":"","family":"Morris","given":"William F.","non-dropping-particle":"","parse-names":false,"suffix":""},{"dropping-particle":"","family":"Doak","given":"Daniel F.","non-dropping-particle":"","parse-names":false,"suffix":""}],"container-title":"American Naturalist","id":"ITEM-2","issue":"4","issued":{"date-parts":[["2004"]]},"page":"579-590","title":"Buffering of Life Histories against Environmental Stochasticity: Accounting for a Spurious Correlation between the Variabilities of Vital Rates and Their Contributions to Fitness","type":"article-journal","volume":"163"},"uris":["http://www.mendeley.com/documents/?uuid=35750ad5-7c63-46b8-b970-434f758404e2"]}],"mendeley":{"formattedCitation":"(Pfister 1998, Morris and Doak 2004)","plainTextFormattedCitation":"(Pfister 1998, Morris and Doak 2004)","previouslyFormattedCitation":"(Pfister 1998, Morris and Doak 2004)"},"properties":{"noteIndex":0},"schema":"https://github.com/citation-style-language/schema/raw/master/csl-citation.json"}</w:instrText>
      </w:r>
      <w:r w:rsidR="00450A49" w:rsidRPr="001626B1">
        <w:rPr>
          <w:rFonts w:eastAsia="HGSMinchoE"/>
          <w:iCs/>
          <w:color w:val="000000" w:themeColor="text1"/>
        </w:rPr>
        <w:fldChar w:fldCharType="separate"/>
      </w:r>
      <w:r w:rsidR="00450A49" w:rsidRPr="001626B1">
        <w:rPr>
          <w:rFonts w:eastAsia="HGSMinchoE"/>
          <w:iCs/>
          <w:noProof/>
          <w:color w:val="000000" w:themeColor="text1"/>
        </w:rPr>
        <w:t>(Pfister 1998, Morris and Doak 2004)</w:t>
      </w:r>
      <w:r w:rsidR="00450A49" w:rsidRPr="001626B1">
        <w:rPr>
          <w:rFonts w:eastAsia="HGSMinchoE"/>
          <w:iCs/>
          <w:color w:val="000000" w:themeColor="text1"/>
        </w:rPr>
        <w:fldChar w:fldCharType="end"/>
      </w:r>
      <w:r w:rsidR="00450A49" w:rsidRPr="001626B1">
        <w:rPr>
          <w:rFonts w:eastAsia="HGSMinchoE"/>
          <w:iCs/>
          <w:color w:val="000000" w:themeColor="text1"/>
        </w:rPr>
        <w:t xml:space="preserve">. The quartile coefficient of dispersion (QCD) is a metric of relative dispersion that can be used in place of the coefficient of variation when the mean of values is negative </w:t>
      </w:r>
      <w:r w:rsidR="00450A49" w:rsidRPr="001626B1">
        <w:rPr>
          <w:rFonts w:eastAsia="HGSMinchoE"/>
          <w:iCs/>
          <w:color w:val="000000" w:themeColor="text1"/>
        </w:rPr>
        <w:fldChar w:fldCharType="begin" w:fldLock="1"/>
      </w:r>
      <w:r w:rsidR="00450A49" w:rsidRPr="001626B1">
        <w:rPr>
          <w:rFonts w:eastAsia="HGSMinchoE"/>
          <w:iCs/>
          <w:color w:val="000000" w:themeColor="text1"/>
        </w:rPr>
        <w:instrText>ADDIN CSL_CITATION {"citationItems":[{"id":"ITEM-1","itemData":{"DOI":"10.1016/j.csda.2005.05.007","ISSN":"01679473","abstract":"An approximate confidence interval is proposed for a robust measure of relative dispersion-the coefficient of quartile variation. The proposed method provides an alternative to interval estimates for other measures of relative dispersion. © 2005 Elsevier B.V. All rights reserved.","author":[{"dropping-particle":"","family":"Bonett","given":"Douglas G.","non-dropping-particle":"","parse-names":false,"suffix":""}],"container-title":"Computational Statistics and Data Analysis","id":"ITEM-1","issue":"11","issued":{"date-parts":[["2006"]]},"page":"2953-2957","title":"Confidence interval for a coefficient of quartile variation","type":"article-journal","volume":"50"},"uris":["http://www.mendeley.com/documents/?uuid=c98154fa-c936-45ec-b5f1-886b2d7c562f"]}],"mendeley":{"formattedCitation":"(Bonett 2006)","plainTextFormattedCitation":"(Bonett 2006)","previouslyFormattedCitation":"(Bonett 2006)"},"properties":{"noteIndex":0},"schema":"https://github.com/citation-style-language/schema/raw/master/csl-citation.json"}</w:instrText>
      </w:r>
      <w:r w:rsidR="00450A49" w:rsidRPr="001626B1">
        <w:rPr>
          <w:rFonts w:eastAsia="HGSMinchoE"/>
          <w:iCs/>
          <w:color w:val="000000" w:themeColor="text1"/>
        </w:rPr>
        <w:fldChar w:fldCharType="separate"/>
      </w:r>
      <w:r w:rsidR="00450A49" w:rsidRPr="001626B1">
        <w:rPr>
          <w:rFonts w:eastAsia="HGSMinchoE"/>
          <w:iCs/>
          <w:noProof/>
          <w:color w:val="000000" w:themeColor="text1"/>
        </w:rPr>
        <w:t>(Bonett 2006)</w:t>
      </w:r>
      <w:r w:rsidR="00450A49" w:rsidRPr="001626B1">
        <w:rPr>
          <w:rFonts w:eastAsia="HGSMinchoE"/>
          <w:iCs/>
          <w:color w:val="000000" w:themeColor="text1"/>
        </w:rPr>
        <w:fldChar w:fldCharType="end"/>
      </w:r>
      <w:r w:rsidR="00450A49" w:rsidRPr="001626B1">
        <w:rPr>
          <w:rFonts w:eastAsia="HGSMinchoE"/>
          <w:iCs/>
          <w:color w:val="000000" w:themeColor="text1"/>
        </w:rPr>
        <w:t xml:space="preserve">. We used an IPM that was fit across all subpopulations using data from both transitions (Table 2: IPM “B”) to calculate elasticity values for each discrete vital rate and each parameter in each continuous vital rate function </w:t>
      </w:r>
      <w:r w:rsidR="00450A49" w:rsidRPr="001626B1">
        <w:rPr>
          <w:rFonts w:eastAsia="HGSMinchoE"/>
          <w:iCs/>
          <w:color w:val="000000" w:themeColor="text1"/>
        </w:rPr>
        <w:fldChar w:fldCharType="begin" w:fldLock="1"/>
      </w:r>
      <w:r w:rsidR="00450A49" w:rsidRPr="001626B1">
        <w:rPr>
          <w:rFonts w:eastAsia="HGSMinchoE"/>
          <w:iCs/>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00450A49" w:rsidRPr="001626B1">
        <w:rPr>
          <w:rFonts w:eastAsia="HGSMinchoE"/>
          <w:iCs/>
          <w:color w:val="000000" w:themeColor="text1"/>
        </w:rPr>
        <w:fldChar w:fldCharType="separate"/>
      </w:r>
      <w:r w:rsidR="00450A49" w:rsidRPr="001626B1">
        <w:rPr>
          <w:rFonts w:eastAsia="HGSMinchoE"/>
          <w:iCs/>
          <w:noProof/>
          <w:color w:val="000000" w:themeColor="text1"/>
        </w:rPr>
        <w:t>(Morris and Doak 2002)</w:t>
      </w:r>
      <w:r w:rsidR="00450A49" w:rsidRPr="001626B1">
        <w:rPr>
          <w:rFonts w:eastAsia="HGSMinchoE"/>
          <w:iCs/>
          <w:color w:val="000000" w:themeColor="text1"/>
        </w:rPr>
        <w:fldChar w:fldCharType="end"/>
      </w:r>
      <w:r w:rsidR="00450A49" w:rsidRPr="001626B1">
        <w:rPr>
          <w:rFonts w:eastAsia="HGSMinchoE"/>
          <w:iCs/>
          <w:color w:val="000000" w:themeColor="text1"/>
        </w:rPr>
        <w:t xml:space="preserve">. We calculated the QCD for each vital rate function parameter using the equation </w:t>
      </w:r>
      <w:r w:rsidR="00450A49" w:rsidRPr="001626B1">
        <w:rPr>
          <w:rFonts w:ascii="Calibri" w:eastAsia="HGSMinchoE" w:hAnsi="Calibri" w:cs="Calibri"/>
          <w:iCs/>
          <w:color w:val="000000" w:themeColor="text1"/>
        </w:rPr>
        <w:t>﻿Q</w:t>
      </w:r>
      <w:r w:rsidR="00450A49" w:rsidRPr="001626B1">
        <w:rPr>
          <w:rFonts w:eastAsia="HGSMinchoE"/>
          <w:iCs/>
          <w:color w:val="000000" w:themeColor="text1"/>
        </w:rPr>
        <w:t xml:space="preserve">CD = (Q3-Q1)/(Q3+Q1), where Q3 and Q1 are the third and first quartiles of the observed values, respectively. </w:t>
      </w:r>
      <w:r w:rsidR="00450A49" w:rsidRPr="001626B1">
        <w:rPr>
          <w:rFonts w:eastAsia="MS Gothic"/>
          <w:color w:val="000000" w:themeColor="text1"/>
        </w:rPr>
        <w:t>These “observed values” were 12 parameter estimates for each vital rate parameter which were taken from the vital rate functions that were fit uniquely for each subpopulation and each transition (Table 2: IPMs “</w:t>
      </w:r>
      <w:r w:rsidR="00450A49" w:rsidRPr="001626B1">
        <w:rPr>
          <w:rFonts w:eastAsia="HGSMinchoE"/>
          <w:color w:val="000000" w:themeColor="text1"/>
        </w:rPr>
        <w:t>CC”-“NN”)</w:t>
      </w:r>
      <w:r w:rsidR="00450A49" w:rsidRPr="001626B1">
        <w:rPr>
          <w:rFonts w:eastAsia="MS Gothic"/>
          <w:color w:val="000000" w:themeColor="text1"/>
        </w:rPr>
        <w:t xml:space="preserve">. Because we did not have site-level information about discrete seedbank vital rates, we calculated QCD for these parameters based on the maximum possible variability in each rate. Seed survival, germination rate, and viability rate are all probabilities bounded by 0 and 1, so we calculated QCD using Q1 and Q3 values from a uniform distribution bounded by 0 and 1. We then evaluated the correlation between QCD and the absolute value of elasticity for all vital rate parameters </w:t>
      </w:r>
      <w:r w:rsidR="00450A49" w:rsidRPr="001626B1">
        <w:rPr>
          <w:rFonts w:eastAsia="MS Gothic"/>
          <w:color w:val="000000" w:themeColor="text1"/>
        </w:rPr>
        <w:fldChar w:fldCharType="begin" w:fldLock="1"/>
      </w:r>
      <w:r w:rsidR="00450A49" w:rsidRPr="001626B1">
        <w:rPr>
          <w:rFonts w:eastAsia="MS Gothic"/>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implications","type":"article-journal","volume":"95"},"uris":["http://www.mendeley.com/documents/?uuid=452ce167-3dd0-42a7-be72-ca2d9710ab25"]}],"mendeley":{"formattedCitation":"(Pfister 1998)","plainTextFormattedCitation":"(Pfister 1998)","previouslyFormattedCitation":"(Pfister 1998)"},"properties":{"noteIndex":0},"schema":"https://github.com/citation-style-language/schema/raw/master/csl-citation.json"}</w:instrText>
      </w:r>
      <w:r w:rsidR="00450A49" w:rsidRPr="001626B1">
        <w:rPr>
          <w:rFonts w:eastAsia="MS Gothic"/>
          <w:color w:val="000000" w:themeColor="text1"/>
        </w:rPr>
        <w:fldChar w:fldCharType="separate"/>
      </w:r>
      <w:r w:rsidR="00450A49" w:rsidRPr="001626B1">
        <w:rPr>
          <w:rFonts w:eastAsia="MS Gothic"/>
          <w:noProof/>
          <w:color w:val="000000" w:themeColor="text1"/>
        </w:rPr>
        <w:t>(Pfister 1998)</w:t>
      </w:r>
      <w:r w:rsidR="00450A49" w:rsidRPr="001626B1">
        <w:rPr>
          <w:rFonts w:eastAsia="MS Gothic"/>
          <w:color w:val="000000" w:themeColor="text1"/>
        </w:rPr>
        <w:fldChar w:fldCharType="end"/>
      </w:r>
      <w:r w:rsidR="00450A49" w:rsidRPr="001626B1">
        <w:rPr>
          <w:rFonts w:eastAsia="MS Gothic"/>
          <w:color w:val="000000" w:themeColor="text1"/>
        </w:rPr>
        <w:t xml:space="preserve">. A significant negative correlation would indicate that vital rate buffering was present (Fig. 1). </w:t>
      </w:r>
    </w:p>
    <w:p w14:paraId="559A3E06" w14:textId="77777777" w:rsidR="00450A49" w:rsidRPr="001626B1" w:rsidRDefault="00450A49" w:rsidP="00450A49">
      <w:pPr>
        <w:pStyle w:val="NormalWeb"/>
        <w:spacing w:line="480" w:lineRule="auto"/>
        <w:outlineLvl w:val="3"/>
        <w:rPr>
          <w:rFonts w:eastAsia="HGSMinchoE"/>
          <w:i/>
          <w:iCs/>
          <w:color w:val="000000" w:themeColor="text1"/>
        </w:rPr>
      </w:pPr>
      <w:r w:rsidRPr="001626B1">
        <w:rPr>
          <w:rFonts w:eastAsia="HGSMinchoE"/>
          <w:i/>
          <w:iCs/>
          <w:color w:val="000000" w:themeColor="text1"/>
        </w:rPr>
        <w:t>Asynchronous Responses and Source-Sink Dynamics:</w:t>
      </w:r>
    </w:p>
    <w:p w14:paraId="194A5D66" w14:textId="77777777" w:rsidR="00450A49" w:rsidRPr="001626B1" w:rsidRDefault="00450A49" w:rsidP="00450A49">
      <w:pPr>
        <w:pStyle w:val="NormalWeb"/>
        <w:spacing w:line="480" w:lineRule="auto"/>
        <w:ind w:firstLine="720"/>
        <w:rPr>
          <w:rFonts w:eastAsia="HGSMinchoE"/>
          <w:color w:val="000000" w:themeColor="text1"/>
        </w:rPr>
      </w:pPr>
      <w:r w:rsidRPr="001626B1">
        <w:rPr>
          <w:rFonts w:eastAsia="HGSMinchoE"/>
          <w:i/>
          <w:iCs/>
          <w:color w:val="000000" w:themeColor="text1"/>
        </w:rPr>
        <w:t xml:space="preserve"> </w:t>
      </w:r>
      <w:r w:rsidRPr="001626B1">
        <w:rPr>
          <w:rFonts w:eastAsia="HGSMinchoE"/>
          <w:color w:val="000000" w:themeColor="text1"/>
        </w:rPr>
        <w:t xml:space="preserve">To determine whether </w:t>
      </w:r>
      <w:r w:rsidRPr="001626B1">
        <w:rPr>
          <w:rFonts w:eastAsia="HGSMinchoE"/>
          <w:i/>
          <w:iCs/>
          <w:color w:val="000000" w:themeColor="text1"/>
        </w:rPr>
        <w:t>O. coloradensis</w:t>
      </w:r>
      <w:r w:rsidRPr="001626B1">
        <w:rPr>
          <w:rFonts w:eastAsia="HGSMinchoE"/>
          <w:color w:val="000000" w:themeColor="text1"/>
        </w:rPr>
        <w:t xml:space="preserve"> subpopulations showed asynchronous responses to environmental variation, we made a correlation matrix to determine how change in </w:t>
      </w:r>
      <w:r>
        <w:rPr>
          <w:rFonts w:eastAsia="HGSMinchoE"/>
          <w:color w:val="000000" w:themeColor="text1"/>
        </w:rPr>
        <w:t>ln(</w:t>
      </w:r>
      <w:r w:rsidRPr="001626B1">
        <w:rPr>
          <w:rFonts w:eastAsia="HGSMinchoE"/>
          <w:color w:val="000000" w:themeColor="text1"/>
        </w:rPr>
        <w:t xml:space="preserve">λ) across each transition was correlated across each subpopulation, using values of </w:t>
      </w:r>
      <w:r>
        <w:rPr>
          <w:rFonts w:eastAsia="HGSMinchoE"/>
          <w:color w:val="000000" w:themeColor="text1"/>
        </w:rPr>
        <w:t>ln(</w:t>
      </w:r>
      <w:r w:rsidRPr="001626B1">
        <w:rPr>
          <w:rFonts w:eastAsia="HGSMinchoE"/>
          <w:color w:val="000000" w:themeColor="text1"/>
        </w:rPr>
        <w:t xml:space="preserve">λ) derived </w:t>
      </w:r>
      <w:r w:rsidRPr="001626B1">
        <w:rPr>
          <w:rFonts w:eastAsia="HGSMinchoE"/>
          <w:color w:val="000000" w:themeColor="text1"/>
        </w:rPr>
        <w:lastRenderedPageBreak/>
        <w:t xml:space="preserve">from IPMs for each subpopulation (Table 2: IPMs “C”-“H”). We used the “mantel()” function from the “vegan” R package to perform a Mantel test, which determined if the Spearman correlation of </w:t>
      </w:r>
      <w:r>
        <w:rPr>
          <w:rFonts w:eastAsia="HGSMinchoE"/>
          <w:color w:val="000000" w:themeColor="text1"/>
        </w:rPr>
        <w:t>ln(</w:t>
      </w:r>
      <w:r w:rsidRPr="001626B1">
        <w:rPr>
          <w:rFonts w:eastAsia="HGSMinchoE"/>
          <w:color w:val="000000" w:themeColor="text1"/>
        </w:rPr>
        <w:t xml:space="preserve">λ) across subpopulations was significantly related to the Euclidian distance between each subpopulation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dropping-particle":"","family":"Szoecs","given":"Eduard","non-dropping-particle":"","parse-names":false,"suffix":""},{"dropping-particle":"","family":"Wagner","given":"Helene","non-dropping-particle":"","parse-names":false,"suffix":""}],"id":"ITEM-1","issued":{"date-parts":[["2020"]]},"publisher":"R package version 2.5-7","title":"vegan: Community Ecology Package","type":"book"},"uris":["http://www.mendeley.com/documents/?uuid=1e7811b7-d402-45df-a393-9ec45f1e620a"]}],"mendeley":{"formattedCitation":"(Oksanen et al. 2020)","plainTextFormattedCitation":"(Oksanen et al. 2020)","previouslyFormattedCitation":"(Oksanen et al. 2020)"},"properties":{"noteIndex":0},"schema":"https://github.com/citation-style-language/schema/raw/master/csl-citation.json"}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(Oksanen et al. 2020)</w:t>
      </w:r>
      <w:r w:rsidRPr="001626B1">
        <w:rPr>
          <w:rFonts w:eastAsia="HGSMinchoE"/>
          <w:color w:val="000000" w:themeColor="text1"/>
        </w:rPr>
        <w:fldChar w:fldCharType="end"/>
      </w:r>
      <w:r w:rsidRPr="001626B1">
        <w:rPr>
          <w:rFonts w:eastAsia="HGSMinchoE"/>
          <w:color w:val="000000" w:themeColor="text1"/>
        </w:rPr>
        <w:t xml:space="preserve">. A negative relationship between the distance between subpopulations and degree of correlation of </w:t>
      </w:r>
      <w:r>
        <w:rPr>
          <w:rFonts w:eastAsia="HGSMinchoE"/>
          <w:color w:val="000000" w:themeColor="text1"/>
        </w:rPr>
        <w:t>ln(</w:t>
      </w:r>
      <w:r w:rsidRPr="001626B1">
        <w:rPr>
          <w:rFonts w:eastAsia="HGSMinchoE"/>
          <w:color w:val="000000" w:themeColor="text1"/>
        </w:rPr>
        <w:t xml:space="preserve">λ) would constitute evidence for spatial asynchrony between subpopulations (Fig. 1).  </w:t>
      </w:r>
    </w:p>
    <w:p w14:paraId="54EDD723" w14:textId="77777777" w:rsidR="00450A49" w:rsidRPr="001626B1" w:rsidRDefault="00450A49" w:rsidP="00450A49">
      <w:pPr>
        <w:pStyle w:val="NormalWeb"/>
        <w:spacing w:line="480" w:lineRule="auto"/>
        <w:rPr>
          <w:rFonts w:eastAsia="HGSMinchoE"/>
          <w:i/>
          <w:iCs/>
          <w:color w:val="000000" w:themeColor="text1"/>
        </w:rPr>
      </w:pPr>
      <w:r w:rsidRPr="001626B1">
        <w:rPr>
          <w:rFonts w:eastAsia="HGSMinchoE"/>
          <w:color w:val="000000" w:themeColor="text1"/>
        </w:rPr>
        <w:tab/>
        <w:t xml:space="preserve">Because we did not have information about gene flow between subpopulations of </w:t>
      </w:r>
      <w:r w:rsidRPr="001626B1">
        <w:rPr>
          <w:rFonts w:eastAsia="HGSMinchoE"/>
          <w:i/>
          <w:iCs/>
          <w:color w:val="000000" w:themeColor="text1"/>
        </w:rPr>
        <w:t>O. coloradensis</w:t>
      </w:r>
      <w:r w:rsidRPr="001626B1">
        <w:rPr>
          <w:rFonts w:eastAsia="HGSMinchoE"/>
          <w:color w:val="000000" w:themeColor="text1"/>
        </w:rPr>
        <w:t xml:space="preserve"> via pollination or seed dispersal, it was not possible to directly measure whether fine-scale source-sink dynamics were acting in these populations. However, because variation in population growth rate across space is a pre-requisite for source-sink dynamics, the previously described tests for spatial asynchrony in subpopulations can also provide evidence for the existence of source-sink dynamics. Again, this would be a negative relationship of distance between subpopulations and correlation of subpopulation </w:t>
      </w:r>
      <w:r>
        <w:rPr>
          <w:rFonts w:eastAsia="HGSMinchoE"/>
          <w:color w:val="000000" w:themeColor="text1"/>
        </w:rPr>
        <w:t>ln(</w:t>
      </w:r>
      <w:r w:rsidRPr="001626B1">
        <w:rPr>
          <w:rFonts w:eastAsia="HGSMinchoE"/>
          <w:color w:val="000000" w:themeColor="text1"/>
        </w:rPr>
        <w:t xml:space="preserve">λ) (Fig. 1). </w:t>
      </w:r>
    </w:p>
    <w:p w14:paraId="436345B0" w14:textId="77777777" w:rsidR="00450A49" w:rsidRPr="001626B1" w:rsidRDefault="00450A49" w:rsidP="00450A49">
      <w:pPr>
        <w:pStyle w:val="NormalWeb"/>
        <w:spacing w:line="480" w:lineRule="auto"/>
        <w:outlineLvl w:val="2"/>
        <w:rPr>
          <w:rFonts w:eastAsia="HGSMinchoE"/>
          <w:i/>
          <w:iCs/>
          <w:color w:val="000000" w:themeColor="text1"/>
        </w:rPr>
      </w:pPr>
      <w:bookmarkStart w:id="31" w:name="_Toc101229636"/>
      <w:bookmarkStart w:id="32" w:name="_Toc101544571"/>
      <w:r w:rsidRPr="001626B1">
        <w:rPr>
          <w:rFonts w:eastAsia="HGSMinchoE"/>
          <w:i/>
          <w:iCs/>
          <w:color w:val="000000" w:themeColor="text1"/>
        </w:rPr>
        <w:t>Objective 3: Population viability analysis</w:t>
      </w:r>
      <w:bookmarkEnd w:id="31"/>
      <w:bookmarkEnd w:id="32"/>
    </w:p>
    <w:p w14:paraId="527540F6" w14:textId="77777777" w:rsidR="00450A49" w:rsidRPr="001626B1" w:rsidRDefault="00450A49" w:rsidP="00450A49">
      <w:pPr>
        <w:pStyle w:val="NormalWeb"/>
        <w:spacing w:line="480" w:lineRule="auto"/>
        <w:ind w:firstLine="720"/>
        <w:rPr>
          <w:rFonts w:eastAsia="HGSMinchoE"/>
          <w:i/>
          <w:iCs/>
          <w:color w:val="000000" w:themeColor="text1"/>
        </w:rPr>
      </w:pPr>
      <w:r w:rsidRPr="001626B1">
        <w:rPr>
          <w:rFonts w:eastAsia="HGSMinchoE"/>
          <w:i/>
          <w:iCs/>
          <w:color w:val="000000" w:themeColor="text1"/>
        </w:rPr>
        <w:t xml:space="preserve"> </w:t>
      </w:r>
      <w:r w:rsidRPr="001626B1">
        <w:rPr>
          <w:rFonts w:eastAsia="HGSMinchoE"/>
          <w:color w:val="000000" w:themeColor="text1"/>
        </w:rPr>
        <w:t>To determine the likelihood that each population (Soapstone prairie and FEWAFB) would persist, we used the “</w:t>
      </w:r>
      <w:proofErr w:type="spellStart"/>
      <w:r w:rsidRPr="001626B1">
        <w:rPr>
          <w:rFonts w:eastAsia="HGSMinchoE"/>
          <w:color w:val="000000" w:themeColor="text1"/>
        </w:rPr>
        <w:t>ipmr</w:t>
      </w:r>
      <w:proofErr w:type="spellEnd"/>
      <w:r w:rsidRPr="001626B1">
        <w:rPr>
          <w:rFonts w:eastAsia="HGSMinchoE"/>
          <w:color w:val="000000" w:themeColor="text1"/>
        </w:rPr>
        <w:t xml:space="preserve">” R package to project each population forward 50 years, incorporating the effects of density dependence and demographic and environmental stochasticity (using IPMs “O”-“R”). Each projection was repeated 1000 times, and stochastic </w:t>
      </w:r>
      <w:r>
        <w:rPr>
          <w:rFonts w:eastAsia="HGSMinchoE"/>
          <w:color w:val="000000" w:themeColor="text1"/>
        </w:rPr>
        <w:t>ln(</w:t>
      </w:r>
      <w:r w:rsidRPr="001626B1">
        <w:rPr>
          <w:rFonts w:eastAsia="HGSMinchoE"/>
          <w:color w:val="000000" w:themeColor="text1"/>
        </w:rPr>
        <w:t xml:space="preserve">λ) (or </w:t>
      </w:r>
      <w:r>
        <w:rPr>
          <w:rFonts w:eastAsia="HGSMinchoE"/>
          <w:color w:val="000000" w:themeColor="text1"/>
        </w:rPr>
        <w:t>ln(</w:t>
      </w:r>
      <w:proofErr w:type="spellStart"/>
      <w:r w:rsidRPr="001626B1">
        <w:rPr>
          <w:rFonts w:eastAsia="HGSMinchoE"/>
          <w:color w:val="000000" w:themeColor="text1"/>
        </w:rPr>
        <w:t>λ</w:t>
      </w:r>
      <w:r w:rsidRPr="001626B1">
        <w:rPr>
          <w:rFonts w:eastAsia="HGSMinchoE"/>
          <w:color w:val="000000" w:themeColor="text1"/>
          <w:vertAlign w:val="subscript"/>
        </w:rPr>
        <w:t>s</w:t>
      </w:r>
      <w:proofErr w:type="spellEnd"/>
      <w:r w:rsidRPr="001626B1">
        <w:rPr>
          <w:rFonts w:eastAsia="HGSMinchoE"/>
          <w:color w:val="000000" w:themeColor="text1"/>
        </w:rPr>
        <w:t xml:space="preserve">)) was calculated with a burn-in of 15 iterations. We did one set of projections using climate values that were randomly drawn from the distribution of observed climate values at each population site. A second set of projections drew climate values from distributions that were 10% warmer and 10% drier than the observed climate, to evaluate how </w:t>
      </w:r>
      <w:r w:rsidRPr="001626B1">
        <w:rPr>
          <w:rFonts w:eastAsia="HGSMinchoE"/>
          <w:i/>
          <w:iCs/>
          <w:color w:val="000000" w:themeColor="text1"/>
        </w:rPr>
        <w:t>O. coloradensis</w:t>
      </w:r>
      <w:r w:rsidRPr="001626B1">
        <w:rPr>
          <w:rFonts w:eastAsia="HGSMinchoE"/>
          <w:color w:val="000000" w:themeColor="text1"/>
        </w:rPr>
        <w:t xml:space="preserve"> </w:t>
      </w:r>
      <w:r w:rsidRPr="001626B1">
        <w:rPr>
          <w:rFonts w:eastAsia="HGSMinchoE"/>
          <w:color w:val="000000" w:themeColor="text1"/>
        </w:rPr>
        <w:lastRenderedPageBreak/>
        <w:t xml:space="preserve">populations may fare under hotter and drier conditions that are predicted to occur in this region under climate change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{"citationItems":[{"id":"ITEM-1","itemData":{"DOI":"10.1016/j.earscirev.2019.102953","ISSN":"00128252","abstract":"This article reviews current drought effects on environmental systems. It stresses the need for considering environmental drought as a relevant type to be included in drought classifications. Here we illustrate that drought has complex environmental effects and affects many different systems (e.g., soils, air, vegetation, and forests, aquatic systems and wildlife). Droughts can affect the quality, structure, and diversity of these systems. However, we find that most environmental systems show strong resistance and resilience to drought events, and the effects of drought are usually temporary. Structural effects of environmental droughts tend to only occur in areas that are perturbed or in communities near their distribution limits. There are few long-term experimental studies that quantify possible trends in drought effects on environmental systems. Nevertheless, existing studies of forests that are based on tree-ring chronologies or forest inventories indicate increased drought-related effects on environmental systems. Future climate change scenarios suggest increased drought severity worldwide, which could alter the vulnerability of different environmental systems and increase the number of structural drought effects.","author":[{"dropping-particle":"","family":"Vicente-Serrano","given":"Sergio M.","non-dropping-particle":"","parse-names":false,"suffix":""},{"dropping-particle":"","family":"Quiring","given":"Steven M.","non-dropping-particle":"","parse-names":false,"suffix":""},{"dropping-particle":"","family":"Peña-Gallardo","given":"Marina","non-dropping-particle":"","parse-names":false,"suffix":""},{"dropping-particle":"","family":"Yuan","given":"Shanshui","non-dropping-particle":"","parse-names":false,"suffix":""},{"dropping-particle":"","family":"Domínguez-Castro","given":"Fernando","non-dropping-particle":"","parse-names":false,"suffix":""}],"container-title":"Earth-Science Reviews","id":"ITEM-1","issue":"September 2019","issued":{"date-parts":[["2020"]]},"page":"102953","publisher":"Elsevier","title":"A review of environmental droughts: Increased risk under global warming?","type":"article-journal","volume":"201"},"uris":["http://www.mendeley.com/documents/?uuid=db3c4d17-f2d3-4607-8ffe-68a6dfcef4e3"]}],"mendeley":{"formattedCitation":"(Vicente-Serrano et al. 2020)","plainTextFormattedCitation":"(Vicente-Serrano et al. 2020)","previouslyFormattedCitation":"(Vicente-Serrano et al. 2020)"},"properties":{"noteIndex":0},"schema":"https://github.com/citation-style-language/schema/raw/master/csl-citation.json"}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(Vicente-Serrano et al. 2020)</w:t>
      </w:r>
      <w:r w:rsidRPr="001626B1">
        <w:rPr>
          <w:rFonts w:eastAsia="HGSMinchoE"/>
          <w:color w:val="000000" w:themeColor="text1"/>
        </w:rPr>
        <w:fldChar w:fldCharType="end"/>
      </w:r>
      <w:r w:rsidRPr="001626B1">
        <w:rPr>
          <w:rFonts w:eastAsia="HGSMinchoE"/>
          <w:color w:val="000000" w:themeColor="text1"/>
        </w:rPr>
        <w:t xml:space="preserve">. </w:t>
      </w:r>
    </w:p>
    <w:p w14:paraId="7749F6E7" w14:textId="77777777" w:rsidR="00450A49" w:rsidRPr="001626B1" w:rsidRDefault="00450A49" w:rsidP="00450A49">
      <w:pPr>
        <w:pStyle w:val="Heading2"/>
        <w:rPr>
          <w:rFonts w:ascii="Times New Roman" w:hAnsi="Times New Roman" w:cs="Times New Roman"/>
          <w:b w:val="0"/>
          <w:bCs w:val="0"/>
          <w:color w:val="000000" w:themeColor="text1"/>
          <w:sz w:val="24"/>
          <w:szCs w:val="24"/>
        </w:rPr>
      </w:pPr>
      <w:bookmarkStart w:id="33" w:name="_Toc101229637"/>
      <w:bookmarkStart w:id="34" w:name="_Toc101544572"/>
      <w:r w:rsidRPr="001626B1">
        <w:rPr>
          <w:rFonts w:ascii="Times New Roman" w:hAnsi="Times New Roman" w:cs="Times New Roman"/>
          <w:color w:val="000000" w:themeColor="text1"/>
          <w:sz w:val="24"/>
          <w:szCs w:val="24"/>
        </w:rPr>
        <w:t>Results</w:t>
      </w:r>
      <w:bookmarkEnd w:id="33"/>
      <w:bookmarkEnd w:id="34"/>
    </w:p>
    <w:p w14:paraId="6B91FE71" w14:textId="77777777" w:rsidR="00450A49" w:rsidRPr="001626B1" w:rsidRDefault="00450A49" w:rsidP="00450A49">
      <w:pPr>
        <w:pStyle w:val="Heading3"/>
        <w:spacing w:line="480" w:lineRule="auto"/>
        <w:rPr>
          <w:rFonts w:ascii="Times New Roman" w:hAnsi="Times New Roman" w:cs="Times New Roman"/>
          <w:i/>
          <w:iCs/>
          <w:color w:val="000000" w:themeColor="text1"/>
        </w:rPr>
      </w:pPr>
      <w:bookmarkStart w:id="35" w:name="_Toc101229638"/>
      <w:bookmarkStart w:id="36" w:name="_Toc101544573"/>
      <w:r w:rsidRPr="002D7E9D">
        <w:rPr>
          <w:rFonts w:ascii="Times New Roman" w:hAnsi="Times New Roman" w:cs="Times New Roman"/>
          <w:b w:val="0"/>
          <w:bCs w:val="0"/>
          <w:i/>
          <w:iCs/>
          <w:color w:val="000000" w:themeColor="text1"/>
        </w:rPr>
        <w:t>Vital Rate Models</w:t>
      </w:r>
      <w:r w:rsidRPr="001626B1">
        <w:rPr>
          <w:rFonts w:ascii="Times New Roman" w:hAnsi="Times New Roman" w:cs="Times New Roman"/>
          <w:i/>
          <w:iCs/>
          <w:color w:val="000000" w:themeColor="text1"/>
        </w:rPr>
        <w:t>:</w:t>
      </w:r>
      <w:bookmarkEnd w:id="35"/>
      <w:bookmarkEnd w:id="36"/>
      <w:r w:rsidRPr="001626B1">
        <w:rPr>
          <w:rFonts w:ascii="Times New Roman" w:hAnsi="Times New Roman" w:cs="Times New Roman"/>
          <w:i/>
          <w:iCs/>
          <w:color w:val="000000" w:themeColor="text1"/>
        </w:rPr>
        <w:t xml:space="preserve"> </w:t>
      </w:r>
    </w:p>
    <w:p w14:paraId="5ADB1F13" w14:textId="77777777" w:rsidR="00450A49" w:rsidRPr="001626B1" w:rsidRDefault="00450A49" w:rsidP="00450A49">
      <w:pPr>
        <w:spacing w:line="480" w:lineRule="auto"/>
        <w:ind w:firstLine="720"/>
        <w:rPr>
          <w:rFonts w:ascii="Times New Roman" w:hAnsi="Times New Roman" w:cs="Times New Roman"/>
          <w:color w:val="000000" w:themeColor="text1"/>
        </w:rPr>
      </w:pPr>
      <w:r w:rsidRPr="001626B1">
        <w:rPr>
          <w:rFonts w:ascii="Times New Roman" w:hAnsi="Times New Roman" w:cs="Times New Roman"/>
          <w:color w:val="000000" w:themeColor="text1"/>
        </w:rPr>
        <w:t xml:space="preserve">In vital rate models parameterized for each population using data from both transitions, we found that larger non-reproductive plants are more likely to survive to year </w:t>
      </w:r>
      <w:r w:rsidRPr="001626B1">
        <w:rPr>
          <w:rFonts w:ascii="Times New Roman" w:hAnsi="Times New Roman" w:cs="Times New Roman"/>
          <w:i/>
          <w:iCs/>
          <w:color w:val="000000" w:themeColor="text1"/>
        </w:rPr>
        <w:t>t+</w:t>
      </w:r>
      <w:r w:rsidRPr="001626B1">
        <w:rPr>
          <w:rFonts w:ascii="Times New Roman" w:hAnsi="Times New Roman" w:cs="Times New Roman"/>
          <w:color w:val="000000" w:themeColor="text1"/>
        </w:rPr>
        <w:t xml:space="preserve">1 than smaller plants (Fig. 3A). Plants below ~7.5 cm in year </w:t>
      </w:r>
      <w:r w:rsidRPr="001626B1">
        <w:rPr>
          <w:rFonts w:ascii="Times New Roman" w:hAnsi="Times New Roman" w:cs="Times New Roman"/>
          <w:i/>
          <w:iCs/>
          <w:color w:val="000000" w:themeColor="text1"/>
        </w:rPr>
        <w:t>t</w:t>
      </w:r>
      <w:r w:rsidRPr="001626B1">
        <w:rPr>
          <w:rFonts w:ascii="Times New Roman" w:hAnsi="Times New Roman" w:cs="Times New Roman"/>
          <w:color w:val="000000" w:themeColor="text1"/>
        </w:rPr>
        <w:t xml:space="preserve"> are likely to become larger in year </w:t>
      </w:r>
      <w:r w:rsidRPr="001626B1">
        <w:rPr>
          <w:rFonts w:ascii="Times New Roman" w:hAnsi="Times New Roman" w:cs="Times New Roman"/>
          <w:i/>
          <w:iCs/>
          <w:color w:val="000000" w:themeColor="text1"/>
        </w:rPr>
        <w:t>t+1</w:t>
      </w:r>
      <w:r w:rsidRPr="001626B1">
        <w:rPr>
          <w:rFonts w:ascii="Times New Roman" w:hAnsi="Times New Roman" w:cs="Times New Roman"/>
          <w:color w:val="000000" w:themeColor="text1"/>
        </w:rPr>
        <w:t>, while plants larger than ~7.5 cm are likely to become smaller in the next year</w:t>
      </w:r>
      <w:r w:rsidRPr="001626B1" w:rsidDel="00967409">
        <w:rPr>
          <w:rFonts w:ascii="Times New Roman" w:hAnsi="Times New Roman" w:cs="Times New Roman"/>
          <w:color w:val="000000" w:themeColor="text1"/>
        </w:rPr>
        <w:t xml:space="preserve"> </w:t>
      </w:r>
      <w:r w:rsidRPr="001626B1">
        <w:rPr>
          <w:rFonts w:ascii="Times New Roman" w:hAnsi="Times New Roman" w:cs="Times New Roman"/>
          <w:color w:val="000000" w:themeColor="text1"/>
        </w:rPr>
        <w:t xml:space="preserve">(Fig. 3B). Flowering probability is best approximated as a quadratic polynomial: flowering probability rises when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xml:space="preserve">) approaches 2.5 (12 cm), but plants with the largest leaves exhibit low flowering probability (Fig. 3C). The number of seeds that a reproductive plant produces increases sharply with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xml:space="preserve">) (Fig. 2D). The inclusion of additional covariates did not alter the overall shape or sign of the relationships between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xml:space="preserve">) and vital rates, so models shown in Figure 3 did not include any additional covariates beyond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color w:val="000000" w:themeColor="text1"/>
          <w:vertAlign w:val="subscript"/>
        </w:rPr>
        <w:softHyphen/>
      </w:r>
      <w:r w:rsidRPr="001626B1">
        <w:rPr>
          <w:rFonts w:ascii="Times New Roman" w:hAnsi="Times New Roman" w:cs="Times New Roman"/>
          <w:i/>
          <w:iCs/>
          <w:color w:val="000000" w:themeColor="text1"/>
          <w:vertAlign w:val="subscript"/>
        </w:rPr>
        <w:softHyphen/>
        <w:t>t</w:t>
      </w:r>
      <w:proofErr w:type="spellEnd"/>
      <w:r w:rsidRPr="001626B1">
        <w:rPr>
          <w:rFonts w:ascii="Times New Roman" w:hAnsi="Times New Roman" w:cs="Times New Roman"/>
          <w:color w:val="000000" w:themeColor="text1"/>
        </w:rPr>
        <w:t xml:space="preserve">).  </w:t>
      </w:r>
    </w:p>
    <w:p w14:paraId="2343F6A5" w14:textId="77777777" w:rsidR="00450A49" w:rsidRPr="001626B1" w:rsidRDefault="00450A49" w:rsidP="00450A49">
      <w:pPr>
        <w:rPr>
          <w:rFonts w:ascii="Times New Roman" w:hAnsi="Times New Roman" w:cs="Times New Roman"/>
          <w:color w:val="000000" w:themeColor="text1"/>
        </w:rPr>
      </w:pPr>
      <w:r w:rsidRPr="001626B1">
        <w:rPr>
          <w:rFonts w:ascii="Times New Roman" w:hAnsi="Times New Roman" w:cs="Times New Roman"/>
          <w:noProof/>
          <w:color w:val="000000" w:themeColor="text1"/>
        </w:rPr>
        <w:lastRenderedPageBreak/>
        <w:drawing>
          <wp:inline distT="0" distB="0" distL="0" distR="0" wp14:anchorId="072896A2" wp14:editId="3B2783CB">
            <wp:extent cx="5662077" cy="36398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662077" cy="3639820"/>
                    </a:xfrm>
                    <a:prstGeom prst="rect">
                      <a:avLst/>
                    </a:prstGeom>
                  </pic:spPr>
                </pic:pic>
              </a:graphicData>
            </a:graphic>
          </wp:inline>
        </w:drawing>
      </w:r>
    </w:p>
    <w:p w14:paraId="0159CA26" w14:textId="77777777" w:rsidR="00450A49" w:rsidRPr="001626B1" w:rsidRDefault="00450A49" w:rsidP="00450A49">
      <w:pPr>
        <w:spacing w:line="360" w:lineRule="auto"/>
        <w:rPr>
          <w:rFonts w:ascii="Times New Roman" w:hAnsi="Times New Roman" w:cs="Times New Roman"/>
          <w:color w:val="000000" w:themeColor="text1"/>
        </w:rPr>
      </w:pPr>
      <w:r w:rsidRPr="001626B1">
        <w:rPr>
          <w:rFonts w:ascii="Times New Roman" w:hAnsi="Times New Roman" w:cs="Times New Roman"/>
          <w:b/>
          <w:bCs/>
          <w:color w:val="000000" w:themeColor="text1"/>
        </w:rPr>
        <w:t>Figure 3</w:t>
      </w:r>
      <w:r w:rsidRPr="001626B1">
        <w:rPr>
          <w:rFonts w:ascii="Times New Roman" w:hAnsi="Times New Roman" w:cs="Times New Roman"/>
          <w:color w:val="000000" w:themeColor="text1"/>
        </w:rPr>
        <w:t>. The effect of current year size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xml:space="preserve">)) on vital rates in monitored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populations. Data for from all sites and all transitions is shown. Lines indicate vital rate functions for each population, and include only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as a predictor, with the exception of flowering models, which include a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w:t>
      </w:r>
      <w:r w:rsidRPr="001626B1">
        <w:rPr>
          <w:rFonts w:ascii="Times New Roman" w:hAnsi="Times New Roman" w:cs="Times New Roman"/>
          <w:color w:val="000000" w:themeColor="text1"/>
          <w:vertAlign w:val="superscript"/>
        </w:rPr>
        <w:t>2</w:t>
      </w:r>
      <w:r w:rsidRPr="001626B1">
        <w:rPr>
          <w:rFonts w:ascii="Times New Roman" w:hAnsi="Times New Roman" w:cs="Times New Roman"/>
          <w:color w:val="000000" w:themeColor="text1"/>
        </w:rPr>
        <w:t xml:space="preserve"> term. Bands around each line show 95% confidence intervals. The dashed line in panel </w:t>
      </w:r>
      <w:r w:rsidRPr="001626B1">
        <w:rPr>
          <w:rFonts w:ascii="Times New Roman" w:hAnsi="Times New Roman" w:cs="Times New Roman"/>
          <w:b/>
          <w:bCs/>
          <w:color w:val="000000" w:themeColor="text1"/>
        </w:rPr>
        <w:t>B</w:t>
      </w:r>
      <w:r w:rsidRPr="001626B1">
        <w:rPr>
          <w:rFonts w:ascii="Times New Roman" w:hAnsi="Times New Roman" w:cs="Times New Roman"/>
          <w:color w:val="000000" w:themeColor="text1"/>
        </w:rPr>
        <w:t xml:space="preserve"> shows a 1:1 line. The sharp cut-off in </w:t>
      </w:r>
      <w:r>
        <w:rPr>
          <w:rFonts w:ascii="Times New Roman" w:hAnsi="Times New Roman" w:cs="Times New Roman"/>
          <w:color w:val="000000" w:themeColor="text1"/>
        </w:rPr>
        <w:t>ln(</w:t>
      </w:r>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t+1</w:t>
      </w:r>
      <w:r w:rsidRPr="001626B1">
        <w:rPr>
          <w:rFonts w:ascii="Times New Roman" w:hAnsi="Times New Roman" w:cs="Times New Roman"/>
          <w:color w:val="000000" w:themeColor="text1"/>
        </w:rPr>
        <w:t xml:space="preserve">) in panel </w:t>
      </w:r>
      <w:r w:rsidRPr="001626B1">
        <w:rPr>
          <w:rFonts w:ascii="Times New Roman" w:hAnsi="Times New Roman" w:cs="Times New Roman"/>
          <w:b/>
          <w:bCs/>
          <w:color w:val="000000" w:themeColor="text1"/>
        </w:rPr>
        <w:t>B</w:t>
      </w:r>
      <w:r w:rsidRPr="001626B1">
        <w:rPr>
          <w:rFonts w:ascii="Times New Roman" w:hAnsi="Times New Roman" w:cs="Times New Roman"/>
          <w:color w:val="000000" w:themeColor="text1"/>
        </w:rPr>
        <w:t xml:space="preserve"> is due to the fact that two-year-old plants could not be seedlings, which were classified as any plant less than 3 cm in size. </w:t>
      </w:r>
    </w:p>
    <w:p w14:paraId="6CACBBBD" w14:textId="77777777" w:rsidR="00450A49" w:rsidRPr="002D7E9D" w:rsidRDefault="00450A49" w:rsidP="00450A49">
      <w:pPr>
        <w:pStyle w:val="Heading3"/>
        <w:rPr>
          <w:rFonts w:ascii="Times New Roman" w:hAnsi="Times New Roman" w:cs="Times New Roman"/>
          <w:b w:val="0"/>
          <w:bCs w:val="0"/>
          <w:i/>
          <w:iCs/>
          <w:color w:val="000000" w:themeColor="text1"/>
        </w:rPr>
      </w:pPr>
      <w:bookmarkStart w:id="37" w:name="_Toc101229639"/>
      <w:bookmarkStart w:id="38" w:name="_Toc101544574"/>
      <w:r w:rsidRPr="002D7E9D">
        <w:rPr>
          <w:rFonts w:ascii="Times New Roman" w:hAnsi="Times New Roman" w:cs="Times New Roman"/>
          <w:b w:val="0"/>
          <w:bCs w:val="0"/>
          <w:i/>
          <w:iCs/>
          <w:color w:val="000000" w:themeColor="text1"/>
        </w:rPr>
        <w:t>Objective 1: Quantifying the importance of the seedbank stage</w:t>
      </w:r>
      <w:bookmarkEnd w:id="37"/>
      <w:bookmarkEnd w:id="38"/>
    </w:p>
    <w:p w14:paraId="39AB3ABF" w14:textId="77777777" w:rsidR="00450A49" w:rsidRPr="002D7E9D" w:rsidRDefault="00450A49" w:rsidP="00450A49">
      <w:pPr>
        <w:pStyle w:val="Heading4"/>
        <w:rPr>
          <w:rFonts w:ascii="Times New Roman" w:hAnsi="Times New Roman" w:cs="Times New Roman"/>
          <w:bCs w:val="0"/>
          <w:color w:val="000000" w:themeColor="text1"/>
        </w:rPr>
      </w:pPr>
      <w:r w:rsidRPr="002D7E9D">
        <w:rPr>
          <w:rFonts w:ascii="Times New Roman" w:hAnsi="Times New Roman" w:cs="Times New Roman"/>
          <w:bCs w:val="0"/>
          <w:iCs/>
          <w:color w:val="000000" w:themeColor="text1"/>
        </w:rPr>
        <w:t>Integral Projection Models</w:t>
      </w:r>
      <w:r w:rsidRPr="002D7E9D">
        <w:rPr>
          <w:rFonts w:ascii="Times New Roman" w:hAnsi="Times New Roman" w:cs="Times New Roman"/>
          <w:bCs w:val="0"/>
          <w:color w:val="000000" w:themeColor="text1"/>
        </w:rPr>
        <w:t>:</w:t>
      </w:r>
    </w:p>
    <w:p w14:paraId="78F984C7" w14:textId="77777777" w:rsidR="00450A49" w:rsidRPr="002D7E9D" w:rsidRDefault="00450A49" w:rsidP="00450A49">
      <w:pPr>
        <w:spacing w:line="480" w:lineRule="auto"/>
        <w:ind w:firstLine="720"/>
        <w:rPr>
          <w:rFonts w:ascii="Times New Roman" w:eastAsia="HGSMinchoE" w:hAnsi="Times New Roman" w:cs="Times New Roman"/>
          <w:color w:val="000000" w:themeColor="text1"/>
        </w:rPr>
      </w:pPr>
      <w:r w:rsidRPr="002D7E9D">
        <w:rPr>
          <w:rFonts w:ascii="Times New Roman" w:hAnsi="Times New Roman" w:cs="Times New Roman"/>
          <w:color w:val="000000" w:themeColor="text1"/>
        </w:rPr>
        <w:t xml:space="preserve">We found that including a discrete seedbank stage in IPMs for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significantly, yet modestly, lowered the asymptotic population growth rate. The continuous state-only IPM (Table 2: IPM “A”) predicted an asymptotic </w:t>
      </w:r>
      <w:r>
        <w:rPr>
          <w:rFonts w:ascii="Times New Roman" w:hAnsi="Times New Roman" w:cs="Times New Roman"/>
          <w:color w:val="000000" w:themeColor="text1"/>
        </w:rPr>
        <w:t>ln(</w:t>
      </w:r>
      <w:r w:rsidRPr="002D7E9D">
        <w:rPr>
          <w:rFonts w:ascii="Times New Roman" w:eastAsia="HGSMinchoE" w:hAnsi="Times New Roman" w:cs="Times New Roman"/>
          <w:color w:val="000000" w:themeColor="text1"/>
        </w:rPr>
        <w:t>λ) of 0.41 for all populations (95% CI: 0.408 - 0.411),</w:t>
      </w:r>
      <w:r w:rsidRPr="002D7E9D">
        <w:rPr>
          <w:rFonts w:eastAsia="HGSMinchoE"/>
          <w:color w:val="000000" w:themeColor="text1"/>
        </w:rPr>
        <w:t xml:space="preserve"> </w:t>
      </w:r>
      <w:r w:rsidRPr="002D7E9D">
        <w:rPr>
          <w:rFonts w:ascii="Times New Roman" w:eastAsia="HGSMinchoE" w:hAnsi="Times New Roman" w:cs="Times New Roman"/>
          <w:color w:val="000000" w:themeColor="text1"/>
        </w:rPr>
        <w:t xml:space="preserve">while the continuous + discrete state IPM (Table 2: IPM “B”) predicted </w:t>
      </w:r>
      <w:r w:rsidRPr="002D7E9D">
        <w:rPr>
          <w:rFonts w:ascii="Times New Roman" w:hAnsi="Times New Roman" w:cs="Times New Roman"/>
          <w:color w:val="000000" w:themeColor="text1"/>
        </w:rPr>
        <w:t xml:space="preserve">an asymptotic </w:t>
      </w:r>
      <w:r>
        <w:rPr>
          <w:rFonts w:ascii="Times New Roman" w:hAnsi="Times New Roman" w:cs="Times New Roman"/>
          <w:color w:val="000000" w:themeColor="text1"/>
        </w:rPr>
        <w:t>ln(</w:t>
      </w:r>
      <w:r w:rsidRPr="002D7E9D">
        <w:rPr>
          <w:rFonts w:ascii="Times New Roman" w:eastAsia="HGSMinchoE" w:hAnsi="Times New Roman" w:cs="Times New Roman"/>
          <w:color w:val="000000" w:themeColor="text1"/>
        </w:rPr>
        <w:t>λ) of 0.39 (populations (95% CI: 0.393 - 0.395). All subsequent IPM results refer to models that included a discrete seedbank state.</w:t>
      </w:r>
    </w:p>
    <w:p w14:paraId="1767CCDE" w14:textId="77777777" w:rsidR="00450A49" w:rsidRPr="002D7E9D" w:rsidRDefault="00450A49" w:rsidP="00450A49">
      <w:pPr>
        <w:spacing w:line="480" w:lineRule="auto"/>
        <w:rPr>
          <w:rFonts w:ascii="Times New Roman" w:hAnsi="Times New Roman" w:cs="Times New Roman"/>
          <w:color w:val="000000" w:themeColor="text1"/>
        </w:rPr>
      </w:pPr>
      <w:r w:rsidRPr="002D7E9D">
        <w:rPr>
          <w:rFonts w:ascii="Times New Roman" w:eastAsia="HGSMinchoE" w:hAnsi="Times New Roman" w:cs="Times New Roman"/>
          <w:color w:val="000000" w:themeColor="text1"/>
        </w:rPr>
        <w:lastRenderedPageBreak/>
        <w:tab/>
      </w:r>
      <w:r w:rsidRPr="002D7E9D">
        <w:rPr>
          <w:rFonts w:ascii="Times New Roman" w:hAnsi="Times New Roman" w:cs="Times New Roman"/>
          <w:color w:val="000000" w:themeColor="text1"/>
        </w:rPr>
        <w:t xml:space="preserve">The simplest two-state IPMs that excluded density dependence and environmental variation indicated that both the Soapstone prairie and FEWAFB populations had positive population growth rates (Table 2: Soapstone prairie- IPM “AA”, </w:t>
      </w:r>
      <w:r>
        <w:rPr>
          <w:rFonts w:ascii="Times New Roman" w:eastAsia="HGSMinchoE" w:hAnsi="Times New Roman" w:cs="Times New Roman"/>
          <w:color w:val="000000" w:themeColor="text1"/>
        </w:rPr>
        <w:t>ln(</w:t>
      </w:r>
      <w:r w:rsidRPr="002D7E9D">
        <w:rPr>
          <w:rFonts w:ascii="Times New Roman" w:eastAsia="HGSMinchoE" w:hAnsi="Times New Roman" w:cs="Times New Roman"/>
          <w:color w:val="000000" w:themeColor="text1"/>
        </w:rPr>
        <w:t>λ) = 0.</w:t>
      </w:r>
      <w:r>
        <w:rPr>
          <w:rFonts w:ascii="Times New Roman" w:eastAsia="HGSMinchoE" w:hAnsi="Times New Roman" w:cs="Times New Roman"/>
          <w:color w:val="000000" w:themeColor="text1"/>
        </w:rPr>
        <w:t>31</w:t>
      </w:r>
      <w:r w:rsidRPr="002D7E9D">
        <w:rPr>
          <w:rFonts w:ascii="Times New Roman" w:eastAsia="HGSMinchoE" w:hAnsi="Times New Roman" w:cs="Times New Roman"/>
          <w:color w:val="000000" w:themeColor="text1"/>
        </w:rPr>
        <w:t xml:space="preserve">; </w:t>
      </w:r>
      <w:r w:rsidRPr="002D7E9D">
        <w:rPr>
          <w:rFonts w:ascii="Times New Roman" w:hAnsi="Times New Roman" w:cs="Times New Roman"/>
          <w:color w:val="000000" w:themeColor="text1"/>
        </w:rPr>
        <w:t xml:space="preserve"> FEWAFB – IPM “BB”, </w:t>
      </w:r>
      <w:r>
        <w:rPr>
          <w:rFonts w:ascii="Times New Roman" w:eastAsia="HGSMinchoE" w:hAnsi="Times New Roman" w:cs="Times New Roman"/>
          <w:color w:val="000000" w:themeColor="text1"/>
        </w:rPr>
        <w:t>ln(</w:t>
      </w:r>
      <w:r w:rsidRPr="002D7E9D">
        <w:rPr>
          <w:rFonts w:ascii="Times New Roman" w:eastAsia="HGSMinchoE" w:hAnsi="Times New Roman" w:cs="Times New Roman"/>
          <w:color w:val="000000" w:themeColor="text1"/>
        </w:rPr>
        <w:t xml:space="preserve">λ) = </w:t>
      </w:r>
      <w:r w:rsidRPr="002D7E9D">
        <w:rPr>
          <w:rFonts w:ascii="Times New Roman" w:hAnsi="Times New Roman" w:cs="Times New Roman"/>
          <w:color w:val="000000" w:themeColor="text1"/>
        </w:rPr>
        <w:t xml:space="preserve"> 0.46). The Diamond Creek subpopulation at FEWAFB had the highest population growth rate from 2018 to 2020 (Table 2: IPM “D”, </w:t>
      </w:r>
      <w:r>
        <w:rPr>
          <w:rFonts w:ascii="Times New Roman" w:eastAsia="HGSMinchoE" w:hAnsi="Times New Roman" w:cs="Times New Roman"/>
          <w:color w:val="000000" w:themeColor="text1"/>
        </w:rPr>
        <w:t>ln(</w:t>
      </w:r>
      <w:r w:rsidRPr="002D7E9D">
        <w:rPr>
          <w:rFonts w:ascii="Times New Roman" w:eastAsia="HGSMinchoE" w:hAnsi="Times New Roman" w:cs="Times New Roman"/>
          <w:color w:val="000000" w:themeColor="text1"/>
        </w:rPr>
        <w:t>λ) = 0.81), while the HQ3 subpopulation at Soapstone prairie had the lowest growth rate (</w:t>
      </w:r>
      <w:r w:rsidRPr="002D7E9D">
        <w:rPr>
          <w:rFonts w:ascii="Times New Roman" w:hAnsi="Times New Roman" w:cs="Times New Roman"/>
          <w:color w:val="000000" w:themeColor="text1"/>
        </w:rPr>
        <w:t xml:space="preserve">Table 2: IPM “G”, </w:t>
      </w:r>
      <w:r>
        <w:rPr>
          <w:rFonts w:ascii="Times New Roman" w:eastAsia="HGSMinchoE" w:hAnsi="Times New Roman" w:cs="Times New Roman"/>
          <w:color w:val="000000" w:themeColor="text1"/>
        </w:rPr>
        <w:t>ln(</w:t>
      </w:r>
      <w:r w:rsidRPr="002D7E9D">
        <w:rPr>
          <w:rFonts w:ascii="Times New Roman" w:eastAsia="HGSMinchoE" w:hAnsi="Times New Roman" w:cs="Times New Roman"/>
          <w:color w:val="000000" w:themeColor="text1"/>
        </w:rPr>
        <w:t xml:space="preserve">λ) = 0.19). </w:t>
      </w:r>
      <w:r w:rsidRPr="002D7E9D">
        <w:rPr>
          <w:rFonts w:ascii="Times New Roman" w:hAnsi="Times New Roman" w:cs="Times New Roman"/>
          <w:color w:val="000000" w:themeColor="text1"/>
        </w:rPr>
        <w:t xml:space="preserve">We parameterized multiple other sets of IPMs that used different combinations of covariates in their vital rate models, and almost all identified a positive population growth rate (Table 2).  </w:t>
      </w:r>
    </w:p>
    <w:p w14:paraId="042B1CD2" w14:textId="77777777" w:rsidR="00450A49" w:rsidRPr="002D7E9D" w:rsidRDefault="00450A49" w:rsidP="00450A49">
      <w:pPr>
        <w:spacing w:line="480" w:lineRule="auto"/>
        <w:rPr>
          <w:rFonts w:ascii="Times New Roman" w:hAnsi="Times New Roman" w:cs="Times New Roman"/>
          <w:color w:val="000000" w:themeColor="text1"/>
        </w:rPr>
      </w:pPr>
      <w:r w:rsidRPr="002D7E9D">
        <w:rPr>
          <w:rFonts w:ascii="Times New Roman" w:hAnsi="Times New Roman" w:cs="Times New Roman"/>
          <w:color w:val="000000" w:themeColor="text1"/>
        </w:rPr>
        <w:tab/>
        <w:t xml:space="preserve">A density-independent, discretized IPM kernel (made using IPM “B”) shows transition probabilities within and between the discrete and continuous stages of the </w:t>
      </w:r>
      <w:r w:rsidRPr="002D7E9D">
        <w:rPr>
          <w:rFonts w:ascii="Times New Roman" w:hAnsi="Times New Roman" w:cs="Times New Roman"/>
          <w:i/>
          <w:iCs/>
          <w:color w:val="000000" w:themeColor="text1"/>
        </w:rPr>
        <w:t xml:space="preserve">O. coloradensis </w:t>
      </w:r>
      <w:r w:rsidRPr="002D7E9D">
        <w:rPr>
          <w:rFonts w:ascii="Times New Roman" w:hAnsi="Times New Roman" w:cs="Times New Roman"/>
          <w:color w:val="000000" w:themeColor="text1"/>
        </w:rPr>
        <w:t xml:space="preserve">lifecycle when all populations and transitions are considered together (Fig. 4A). Relative to the rest of the kernel, there is a very high probability that seeds stay in the seedbank, as well as a large contribution of seeds from medium-sized adult plants to the seedbank in the next year. The rates at which seeds are produced by adult plants and stay in the seedbank have the most impact </w:t>
      </w:r>
      <w:r w:rsidRPr="002D7E9D">
        <w:rPr>
          <w:rFonts w:ascii="Times New Roman" w:hAnsi="Times New Roman" w:cs="Times New Roman"/>
          <w:color w:val="000000" w:themeColor="text1"/>
        </w:rPr>
        <w:lastRenderedPageBreak/>
        <w:t xml:space="preserve">on population growth rate (Fig. 4C). </w:t>
      </w:r>
      <w:r w:rsidRPr="002D7E9D">
        <w:rPr>
          <w:rFonts w:ascii="Times New Roman" w:hAnsi="Times New Roman" w:cs="Times New Roman"/>
          <w:noProof/>
          <w:color w:val="000000" w:themeColor="text1"/>
        </w:rPr>
        <w:drawing>
          <wp:inline distT="0" distB="0" distL="0" distR="0" wp14:anchorId="75F7CC66" wp14:editId="3E695419">
            <wp:extent cx="5755044" cy="43799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r="6142"/>
                    <a:stretch/>
                  </pic:blipFill>
                  <pic:spPr bwMode="auto">
                    <a:xfrm>
                      <a:off x="0" y="0"/>
                      <a:ext cx="5755044" cy="4379976"/>
                    </a:xfrm>
                    <a:prstGeom prst="rect">
                      <a:avLst/>
                    </a:prstGeom>
                    <a:ln>
                      <a:noFill/>
                    </a:ln>
                    <a:extLst>
                      <a:ext uri="{53640926-AAD7-44D8-BBD7-CCE9431645EC}">
                        <a14:shadowObscured xmlns:a14="http://schemas.microsoft.com/office/drawing/2010/main"/>
                      </a:ext>
                    </a:extLst>
                  </pic:spPr>
                </pic:pic>
              </a:graphicData>
            </a:graphic>
          </wp:inline>
        </w:drawing>
      </w:r>
    </w:p>
    <w:p w14:paraId="04FD524D" w14:textId="77777777" w:rsidR="00450A49" w:rsidRPr="002D7E9D" w:rsidRDefault="00450A49" w:rsidP="00450A49">
      <w:pPr>
        <w:spacing w:line="360" w:lineRule="auto"/>
        <w:rPr>
          <w:rFonts w:ascii="Times New Roman" w:hAnsi="Times New Roman" w:cs="Times New Roman"/>
          <w:color w:val="000000" w:themeColor="text1"/>
        </w:rPr>
      </w:pPr>
      <w:r w:rsidRPr="002D7E9D">
        <w:rPr>
          <w:rFonts w:ascii="Times New Roman" w:hAnsi="Times New Roman" w:cs="Times New Roman"/>
          <w:color w:val="000000" w:themeColor="text1"/>
        </w:rPr>
        <w:t xml:space="preserve">Figure 4. Visualizations of the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IPM kernels. (A) The IPM kernel for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This kernel shows a density-independent IPM constructed using all data from all transitions (IPM A). (B) Sensitivity of the IPM kernel. (C) Elasticity of the IPM kernel. In all panels, color indicates probability, with darker colors corresponding to higher probability, and lighter colors corresponding to lower probability. The dashed line shows a 1:1 line. </w:t>
      </w:r>
    </w:p>
    <w:p w14:paraId="054AF552" w14:textId="77777777" w:rsidR="00450A49" w:rsidRPr="002D7E9D" w:rsidRDefault="00450A49" w:rsidP="00450A49">
      <w:pPr>
        <w:rPr>
          <w:rFonts w:ascii="Times New Roman" w:hAnsi="Times New Roman" w:cs="Times New Roman"/>
          <w:color w:val="000000" w:themeColor="text1"/>
        </w:rPr>
      </w:pPr>
    </w:p>
    <w:p w14:paraId="27B1F7BF" w14:textId="77777777" w:rsidR="00450A49" w:rsidRPr="002D7E9D" w:rsidRDefault="00450A49" w:rsidP="00450A49">
      <w:pPr>
        <w:pStyle w:val="Heading3"/>
        <w:rPr>
          <w:b w:val="0"/>
          <w:bCs w:val="0"/>
          <w:i/>
          <w:iCs/>
          <w:color w:val="000000" w:themeColor="text1"/>
        </w:rPr>
      </w:pPr>
      <w:bookmarkStart w:id="39" w:name="_Toc101229640"/>
      <w:bookmarkStart w:id="40" w:name="_Toc101544575"/>
      <w:r w:rsidRPr="002D7E9D">
        <w:rPr>
          <w:rFonts w:ascii="Times New Roman" w:hAnsi="Times New Roman" w:cs="Times New Roman"/>
          <w:b w:val="0"/>
          <w:bCs w:val="0"/>
          <w:i/>
          <w:iCs/>
          <w:color w:val="000000" w:themeColor="text1"/>
        </w:rPr>
        <w:t>Objective 2: Evaluating Persistence Mechanisms</w:t>
      </w:r>
      <w:bookmarkEnd w:id="39"/>
      <w:bookmarkEnd w:id="40"/>
    </w:p>
    <w:p w14:paraId="717A33A0" w14:textId="77777777" w:rsidR="00450A49" w:rsidRPr="002D7E9D" w:rsidRDefault="00450A49" w:rsidP="00450A49">
      <w:pPr>
        <w:pStyle w:val="NormalWeb"/>
        <w:spacing w:line="480" w:lineRule="auto"/>
        <w:outlineLvl w:val="3"/>
        <w:rPr>
          <w:rFonts w:eastAsia="HGSMinchoE"/>
          <w:color w:val="000000" w:themeColor="text1"/>
        </w:rPr>
      </w:pPr>
      <w:r w:rsidRPr="002D7E9D">
        <w:rPr>
          <w:rFonts w:eastAsia="HGSMinchoE"/>
          <w:i/>
          <w:iCs/>
          <w:color w:val="000000" w:themeColor="text1"/>
        </w:rPr>
        <w:t>Negative Density Dependence</w:t>
      </w:r>
      <w:r w:rsidRPr="002D7E9D">
        <w:rPr>
          <w:rFonts w:eastAsia="HGSMinchoE"/>
          <w:color w:val="000000" w:themeColor="text1"/>
        </w:rPr>
        <w:t xml:space="preserve">: </w:t>
      </w:r>
    </w:p>
    <w:p w14:paraId="781B67C6" w14:textId="77777777" w:rsidR="00450A49" w:rsidRPr="002D7E9D" w:rsidRDefault="00450A49" w:rsidP="00450A49">
      <w:pPr>
        <w:pStyle w:val="NormalWeb"/>
        <w:spacing w:line="480" w:lineRule="auto"/>
        <w:ind w:firstLine="720"/>
        <w:rPr>
          <w:rFonts w:eastAsia="HGSMinchoE"/>
          <w:color w:val="000000" w:themeColor="text1"/>
        </w:rPr>
      </w:pPr>
      <w:r w:rsidRPr="002D7E9D">
        <w:rPr>
          <w:rFonts w:eastAsia="HGSMinchoE"/>
          <w:color w:val="000000" w:themeColor="text1"/>
        </w:rPr>
        <w:t xml:space="preserve">There is moderate evidence that negative density-dependence is acting to maintain populations of </w:t>
      </w:r>
      <w:r w:rsidRPr="002D7E9D">
        <w:rPr>
          <w:rFonts w:eastAsia="HGSMinchoE"/>
          <w:i/>
          <w:iCs/>
          <w:color w:val="000000" w:themeColor="text1"/>
        </w:rPr>
        <w:t>O. coloradensis</w:t>
      </w:r>
      <w:r w:rsidRPr="002D7E9D">
        <w:rPr>
          <w:rFonts w:eastAsia="HGSMinchoE"/>
          <w:color w:val="000000" w:themeColor="text1"/>
        </w:rPr>
        <w:t xml:space="preserve">. AIC comparison of continuous vital rate models indicate that </w:t>
      </w:r>
      <w:r w:rsidRPr="002D7E9D">
        <w:rPr>
          <w:rFonts w:eastAsia="HGSMinchoE"/>
          <w:color w:val="000000" w:themeColor="text1"/>
        </w:rPr>
        <w:lastRenderedPageBreak/>
        <w:t xml:space="preserve">density-dependent models are better predictors of the majority of vital rates than density-independent models in most subpopulations (Table 4).  Models that included population size in the previous year as a covariate were better predictors of growth in five of six subpopulations. Density dependent models were better predictors of survival and seed production than density independent models in four out of six subpopulations, and density dependent models of flowering were better in one subpopulation. Recruit size distribution was not affected by density dependence—AIC model comparison did not indicate substantial differences, either negative or positive, between recruit size models for any subpopulation. The vital rate models for the Meadow population at Soapstone Prairie were least affected by density dependence. Only the growth model was improved by including a density dependence term. Although density dependence is important for </w:t>
      </w:r>
      <w:r w:rsidRPr="002D7E9D">
        <w:rPr>
          <w:rFonts w:eastAsia="HGSMinchoE"/>
          <w:i/>
          <w:iCs/>
          <w:color w:val="000000" w:themeColor="text1"/>
        </w:rPr>
        <w:t>O. coloradensis</w:t>
      </w:r>
      <w:r w:rsidRPr="002D7E9D">
        <w:rPr>
          <w:rFonts w:eastAsia="HGSMinchoE"/>
          <w:color w:val="000000" w:themeColor="text1"/>
        </w:rPr>
        <w:t xml:space="preserve">, it appears only to be acting to decrease lambda at high density, but not clearly increasing lambda at low density. We also found that population growth rate is generally higher when population size is smaller, but only when comparing the relationship between </w:t>
      </w:r>
      <w:r>
        <w:rPr>
          <w:rFonts w:eastAsia="HGSMinchoE"/>
          <w:color w:val="000000" w:themeColor="text1"/>
        </w:rPr>
        <w:t>ln(</w:t>
      </w:r>
      <w:r w:rsidRPr="002D7E9D">
        <w:rPr>
          <w:rFonts w:eastAsia="HGSMinchoE"/>
          <w:color w:val="000000" w:themeColor="text1"/>
        </w:rPr>
        <w:t xml:space="preserve">λ) and population size within a subpopulation (Fig. 5A and C). There is also a negative relationship within each subpopulation between population size in year </w:t>
      </w:r>
      <w:r w:rsidRPr="002D7E9D">
        <w:rPr>
          <w:rFonts w:eastAsia="HGSMinchoE"/>
          <w:i/>
          <w:iCs/>
          <w:color w:val="000000" w:themeColor="text1"/>
        </w:rPr>
        <w:t>t</w:t>
      </w:r>
      <w:r w:rsidRPr="002D7E9D">
        <w:rPr>
          <w:rFonts w:eastAsia="HGSMinchoE"/>
          <w:color w:val="000000" w:themeColor="text1"/>
        </w:rPr>
        <w:t xml:space="preserve"> and the ratio of subpopulation size in </w:t>
      </w:r>
      <w:r w:rsidRPr="002D7E9D">
        <w:rPr>
          <w:rFonts w:eastAsia="HGSMinchoE"/>
          <w:i/>
          <w:iCs/>
          <w:color w:val="000000" w:themeColor="text1"/>
        </w:rPr>
        <w:t>t+1</w:t>
      </w:r>
      <w:r w:rsidRPr="002D7E9D">
        <w:rPr>
          <w:rFonts w:eastAsia="HGSMinchoE"/>
          <w:color w:val="000000" w:themeColor="text1"/>
        </w:rPr>
        <w:t xml:space="preserve"> to subpopulation size in </w:t>
      </w:r>
      <w:r w:rsidRPr="002D7E9D">
        <w:rPr>
          <w:rFonts w:eastAsia="HGSMinchoE"/>
          <w:i/>
          <w:iCs/>
          <w:color w:val="000000" w:themeColor="text1"/>
        </w:rPr>
        <w:t>t</w:t>
      </w:r>
      <w:r w:rsidRPr="002D7E9D">
        <w:rPr>
          <w:rFonts w:eastAsia="HGSMinchoE"/>
          <w:color w:val="000000" w:themeColor="text1"/>
        </w:rPr>
        <w:t xml:space="preserve"> (Fig. 5B and D). However, when looking across all subpopulations, there is not a clear relationship between subpopulation size in </w:t>
      </w:r>
      <w:r w:rsidRPr="002D7E9D">
        <w:rPr>
          <w:rFonts w:eastAsia="HGSMinchoE"/>
          <w:i/>
          <w:iCs/>
          <w:color w:val="000000" w:themeColor="text1"/>
        </w:rPr>
        <w:t>t</w:t>
      </w:r>
      <w:r w:rsidRPr="002D7E9D">
        <w:rPr>
          <w:rFonts w:eastAsia="HGSMinchoE"/>
          <w:color w:val="000000" w:themeColor="text1"/>
        </w:rPr>
        <w:t xml:space="preserve"> and either </w:t>
      </w:r>
      <w:r>
        <w:rPr>
          <w:rFonts w:eastAsia="HGSMinchoE"/>
          <w:color w:val="000000" w:themeColor="text1"/>
        </w:rPr>
        <w:t>ln(</w:t>
      </w:r>
      <w:r w:rsidRPr="002D7E9D">
        <w:rPr>
          <w:rFonts w:eastAsia="HGSMinchoE"/>
          <w:color w:val="000000" w:themeColor="text1"/>
        </w:rPr>
        <w:t xml:space="preserve">λ) or the ratio of subpopulation size in </w:t>
      </w:r>
      <w:r w:rsidRPr="002D7E9D">
        <w:rPr>
          <w:rFonts w:eastAsia="HGSMinchoE"/>
          <w:i/>
          <w:iCs/>
          <w:color w:val="000000" w:themeColor="text1"/>
        </w:rPr>
        <w:t>t+1</w:t>
      </w:r>
      <w:r w:rsidRPr="002D7E9D">
        <w:rPr>
          <w:rFonts w:eastAsia="HGSMinchoE"/>
          <w:color w:val="000000" w:themeColor="text1"/>
        </w:rPr>
        <w:t xml:space="preserve">. </w:t>
      </w:r>
    </w:p>
    <w:p w14:paraId="4E691170" w14:textId="77777777" w:rsidR="00450A49" w:rsidRPr="002D7E9D" w:rsidRDefault="00450A49" w:rsidP="00450A49">
      <w:pPr>
        <w:pStyle w:val="NormalWeb"/>
        <w:spacing w:line="360" w:lineRule="auto"/>
        <w:rPr>
          <w:rFonts w:eastAsia="HGSMinchoE"/>
          <w:color w:val="000000" w:themeColor="text1"/>
        </w:rPr>
      </w:pPr>
      <w:r w:rsidRPr="002D7E9D">
        <w:rPr>
          <w:rFonts w:eastAsia="HGSMinchoE"/>
          <w:color w:val="000000" w:themeColor="text1"/>
        </w:rPr>
        <w:t xml:space="preserve">Table 4. Comparison of vital rate models that do and do not include density dependence. The “DI” and “DD” rows contain AIC values for each vital rate model in each subpopulation for models that are density-independent (DI) and density-dependent (DD). The difference between the AIC of DI and DD models is shown in the </w:t>
      </w:r>
      <w:r w:rsidRPr="002D7E9D">
        <w:rPr>
          <w:rFonts w:eastAsia="Hiragino Maru Gothic Pro W4"/>
          <w:color w:val="000000" w:themeColor="text1"/>
        </w:rPr>
        <w:t xml:space="preserve">Δ </w:t>
      </w:r>
      <w:r w:rsidRPr="002D7E9D">
        <w:rPr>
          <w:rFonts w:eastAsia="HGSMinchoE"/>
          <w:color w:val="000000" w:themeColor="text1"/>
        </w:rPr>
        <w:t>AIC column. Bold text indicates that the |</w:t>
      </w:r>
      <w:r w:rsidRPr="002D7E9D">
        <w:rPr>
          <w:rFonts w:eastAsia="Hiragino Maru Gothic Pro W4"/>
          <w:color w:val="000000" w:themeColor="text1"/>
        </w:rPr>
        <w:t>Δ</w:t>
      </w:r>
      <w:r w:rsidRPr="002D7E9D">
        <w:rPr>
          <w:rFonts w:eastAsia="HGSMinchoE"/>
          <w:color w:val="000000" w:themeColor="text1"/>
        </w:rPr>
        <w:t xml:space="preserve">AIC| value is &gt; 3, which means that including a term for density dependence substantially changed </w:t>
      </w:r>
      <w:r w:rsidRPr="002D7E9D">
        <w:rPr>
          <w:rFonts w:eastAsia="HGSMinchoE"/>
          <w:color w:val="000000" w:themeColor="text1"/>
        </w:rPr>
        <w:lastRenderedPageBreak/>
        <w:t xml:space="preserve">that vital rate model. A positive </w:t>
      </w:r>
      <w:r w:rsidRPr="002D7E9D">
        <w:rPr>
          <w:rFonts w:eastAsia="Hiragino Maru Gothic Pro W4"/>
          <w:color w:val="000000" w:themeColor="text1"/>
        </w:rPr>
        <w:t>Δ</w:t>
      </w:r>
      <w:r w:rsidRPr="002D7E9D">
        <w:rPr>
          <w:rFonts w:eastAsia="HGSMinchoE"/>
          <w:color w:val="000000" w:themeColor="text1"/>
        </w:rPr>
        <w:t>AIC indicates that including density dependence improved the model, while a negative value indicates that including density dependence made model fit worse.</w:t>
      </w:r>
    </w:p>
    <w:tbl>
      <w:tblPr>
        <w:tblStyle w:val="TableGrid"/>
        <w:tblW w:w="0" w:type="auto"/>
        <w:tblLook w:val="04A0" w:firstRow="1" w:lastRow="0" w:firstColumn="1" w:lastColumn="0" w:noHBand="0" w:noVBand="1"/>
      </w:tblPr>
      <w:tblGrid>
        <w:gridCol w:w="1257"/>
        <w:gridCol w:w="1242"/>
        <w:gridCol w:w="1085"/>
        <w:gridCol w:w="1233"/>
        <w:gridCol w:w="1251"/>
        <w:gridCol w:w="1037"/>
        <w:gridCol w:w="1037"/>
        <w:gridCol w:w="1208"/>
      </w:tblGrid>
      <w:tr w:rsidR="00450A49" w:rsidRPr="002D7E9D" w14:paraId="14F1D9BF" w14:textId="77777777" w:rsidTr="00D74BE2">
        <w:tc>
          <w:tcPr>
            <w:tcW w:w="2499" w:type="dxa"/>
            <w:gridSpan w:val="2"/>
            <w:vMerge w:val="restart"/>
            <w:tcBorders>
              <w:top w:val="single" w:sz="4" w:space="0" w:color="000000" w:themeColor="text1"/>
              <w:left w:val="single" w:sz="4" w:space="0" w:color="000000" w:themeColor="text1"/>
            </w:tcBorders>
            <w:shd w:val="clear" w:color="auto" w:fill="F2F2F2" w:themeFill="background1" w:themeFillShade="F2"/>
            <w:vAlign w:val="center"/>
          </w:tcPr>
          <w:p w14:paraId="2FCECEEE"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Vital Rate Model</w:t>
            </w:r>
          </w:p>
        </w:tc>
        <w:tc>
          <w:tcPr>
            <w:tcW w:w="6851" w:type="dxa"/>
            <w:gridSpan w:val="6"/>
            <w:shd w:val="clear" w:color="auto" w:fill="F2F2F2" w:themeFill="background1" w:themeFillShade="F2"/>
          </w:tcPr>
          <w:p w14:paraId="2BE540C0"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Subpopulation</w:t>
            </w:r>
          </w:p>
        </w:tc>
      </w:tr>
      <w:tr w:rsidR="00450A49" w:rsidRPr="002D7E9D" w14:paraId="4700C629" w14:textId="77777777" w:rsidTr="00D74BE2">
        <w:tc>
          <w:tcPr>
            <w:tcW w:w="2499" w:type="dxa"/>
            <w:gridSpan w:val="2"/>
            <w:vMerge/>
            <w:tcBorders>
              <w:left w:val="single" w:sz="4" w:space="0" w:color="000000" w:themeColor="text1"/>
            </w:tcBorders>
            <w:shd w:val="clear" w:color="auto" w:fill="F2F2F2" w:themeFill="background1" w:themeFillShade="F2"/>
          </w:tcPr>
          <w:p w14:paraId="1D3B3F9E" w14:textId="77777777" w:rsidR="00450A49" w:rsidRPr="002D7E9D" w:rsidRDefault="00450A49" w:rsidP="00D74BE2">
            <w:pPr>
              <w:pStyle w:val="NormalWeb"/>
              <w:rPr>
                <w:rFonts w:eastAsia="HGSMinchoE"/>
                <w:color w:val="000000" w:themeColor="text1"/>
              </w:rPr>
            </w:pPr>
          </w:p>
        </w:tc>
        <w:tc>
          <w:tcPr>
            <w:tcW w:w="1085" w:type="dxa"/>
            <w:shd w:val="clear" w:color="auto" w:fill="F2F2F2" w:themeFill="background1" w:themeFillShade="F2"/>
          </w:tcPr>
          <w:p w14:paraId="050451F7"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Crow Creek</w:t>
            </w:r>
          </w:p>
        </w:tc>
        <w:tc>
          <w:tcPr>
            <w:tcW w:w="1233" w:type="dxa"/>
            <w:shd w:val="clear" w:color="auto" w:fill="F2F2F2" w:themeFill="background1" w:themeFillShade="F2"/>
          </w:tcPr>
          <w:p w14:paraId="11C921BD"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Diamond Creek</w:t>
            </w:r>
          </w:p>
        </w:tc>
        <w:tc>
          <w:tcPr>
            <w:tcW w:w="1251" w:type="dxa"/>
            <w:shd w:val="clear" w:color="auto" w:fill="F2F2F2" w:themeFill="background1" w:themeFillShade="F2"/>
          </w:tcPr>
          <w:p w14:paraId="6C1FFB31"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Unnamed Creek</w:t>
            </w:r>
          </w:p>
        </w:tc>
        <w:tc>
          <w:tcPr>
            <w:tcW w:w="1037" w:type="dxa"/>
            <w:shd w:val="clear" w:color="auto" w:fill="F2F2F2" w:themeFill="background1" w:themeFillShade="F2"/>
          </w:tcPr>
          <w:p w14:paraId="21F47519"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HQ5</w:t>
            </w:r>
          </w:p>
        </w:tc>
        <w:tc>
          <w:tcPr>
            <w:tcW w:w="1037" w:type="dxa"/>
            <w:shd w:val="clear" w:color="auto" w:fill="F2F2F2" w:themeFill="background1" w:themeFillShade="F2"/>
          </w:tcPr>
          <w:p w14:paraId="3A3D01F2"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HQ3</w:t>
            </w:r>
          </w:p>
        </w:tc>
        <w:tc>
          <w:tcPr>
            <w:tcW w:w="1208" w:type="dxa"/>
            <w:shd w:val="clear" w:color="auto" w:fill="F2F2F2" w:themeFill="background1" w:themeFillShade="F2"/>
          </w:tcPr>
          <w:p w14:paraId="51806DC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Meadow</w:t>
            </w:r>
          </w:p>
        </w:tc>
      </w:tr>
      <w:tr w:rsidR="00450A49" w:rsidRPr="002D7E9D" w14:paraId="1ABFB0F0" w14:textId="77777777" w:rsidTr="00D74BE2">
        <w:tc>
          <w:tcPr>
            <w:tcW w:w="1257" w:type="dxa"/>
            <w:vMerge w:val="restart"/>
          </w:tcPr>
          <w:p w14:paraId="03BEDC5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Survival</w:t>
            </w:r>
          </w:p>
        </w:tc>
        <w:tc>
          <w:tcPr>
            <w:tcW w:w="1242" w:type="dxa"/>
            <w:tcBorders>
              <w:bottom w:val="single" w:sz="4" w:space="0" w:color="AEAAAA" w:themeColor="background2" w:themeShade="BF"/>
            </w:tcBorders>
          </w:tcPr>
          <w:p w14:paraId="4C17364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tcPr>
          <w:p w14:paraId="318AA26E"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776.79</w:t>
            </w:r>
          </w:p>
        </w:tc>
        <w:tc>
          <w:tcPr>
            <w:tcW w:w="1233" w:type="dxa"/>
            <w:tcBorders>
              <w:bottom w:val="single" w:sz="4" w:space="0" w:color="AEAAAA" w:themeColor="background2" w:themeShade="BF"/>
            </w:tcBorders>
          </w:tcPr>
          <w:p w14:paraId="2E861EDE"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1012.69</w:t>
            </w:r>
          </w:p>
        </w:tc>
        <w:tc>
          <w:tcPr>
            <w:tcW w:w="1251" w:type="dxa"/>
            <w:tcBorders>
              <w:bottom w:val="single" w:sz="4" w:space="0" w:color="AEAAAA" w:themeColor="background2" w:themeShade="BF"/>
            </w:tcBorders>
          </w:tcPr>
          <w:p w14:paraId="6A5AFA5F"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2678.99</w:t>
            </w:r>
          </w:p>
        </w:tc>
        <w:tc>
          <w:tcPr>
            <w:tcW w:w="1037" w:type="dxa"/>
            <w:tcBorders>
              <w:bottom w:val="single" w:sz="4" w:space="0" w:color="AEAAAA" w:themeColor="background2" w:themeShade="BF"/>
            </w:tcBorders>
          </w:tcPr>
          <w:p w14:paraId="3F43F28B"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3247.02</w:t>
            </w:r>
          </w:p>
        </w:tc>
        <w:tc>
          <w:tcPr>
            <w:tcW w:w="1037" w:type="dxa"/>
            <w:tcBorders>
              <w:bottom w:val="single" w:sz="4" w:space="0" w:color="AEAAAA" w:themeColor="background2" w:themeShade="BF"/>
            </w:tcBorders>
          </w:tcPr>
          <w:p w14:paraId="2CBC84C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716.77</w:t>
            </w:r>
          </w:p>
        </w:tc>
        <w:tc>
          <w:tcPr>
            <w:tcW w:w="1208" w:type="dxa"/>
            <w:tcBorders>
              <w:bottom w:val="single" w:sz="4" w:space="0" w:color="AEAAAA" w:themeColor="background2" w:themeShade="BF"/>
            </w:tcBorders>
          </w:tcPr>
          <w:p w14:paraId="573EAEAB"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164.69</w:t>
            </w:r>
          </w:p>
        </w:tc>
      </w:tr>
      <w:tr w:rsidR="00450A49" w:rsidRPr="002D7E9D" w14:paraId="31B9022D" w14:textId="77777777" w:rsidTr="00D74BE2">
        <w:tc>
          <w:tcPr>
            <w:tcW w:w="1257" w:type="dxa"/>
            <w:vMerge/>
          </w:tcPr>
          <w:p w14:paraId="46F3A05C"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0B5BB39B"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5805EE0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757.98</w:t>
            </w:r>
          </w:p>
        </w:tc>
        <w:tc>
          <w:tcPr>
            <w:tcW w:w="1233" w:type="dxa"/>
            <w:tcBorders>
              <w:top w:val="single" w:sz="4" w:space="0" w:color="AEAAAA" w:themeColor="background2" w:themeShade="BF"/>
              <w:bottom w:val="single" w:sz="4" w:space="0" w:color="AEAAAA" w:themeColor="background2" w:themeShade="BF"/>
            </w:tcBorders>
          </w:tcPr>
          <w:p w14:paraId="7689E05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905.76</w:t>
            </w:r>
          </w:p>
        </w:tc>
        <w:tc>
          <w:tcPr>
            <w:tcW w:w="1251" w:type="dxa"/>
            <w:tcBorders>
              <w:top w:val="single" w:sz="4" w:space="0" w:color="AEAAAA" w:themeColor="background2" w:themeShade="BF"/>
              <w:bottom w:val="single" w:sz="4" w:space="0" w:color="AEAAAA" w:themeColor="background2" w:themeShade="BF"/>
            </w:tcBorders>
          </w:tcPr>
          <w:p w14:paraId="226FE98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2679.41</w:t>
            </w:r>
          </w:p>
        </w:tc>
        <w:tc>
          <w:tcPr>
            <w:tcW w:w="1037" w:type="dxa"/>
            <w:tcBorders>
              <w:top w:val="single" w:sz="4" w:space="0" w:color="AEAAAA" w:themeColor="background2" w:themeShade="BF"/>
              <w:bottom w:val="single" w:sz="4" w:space="0" w:color="AEAAAA" w:themeColor="background2" w:themeShade="BF"/>
            </w:tcBorders>
          </w:tcPr>
          <w:p w14:paraId="3A5ED95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2927.47</w:t>
            </w:r>
          </w:p>
        </w:tc>
        <w:tc>
          <w:tcPr>
            <w:tcW w:w="1037" w:type="dxa"/>
            <w:tcBorders>
              <w:top w:val="single" w:sz="4" w:space="0" w:color="AEAAAA" w:themeColor="background2" w:themeShade="BF"/>
              <w:bottom w:val="single" w:sz="4" w:space="0" w:color="AEAAAA" w:themeColor="background2" w:themeShade="BF"/>
            </w:tcBorders>
          </w:tcPr>
          <w:p w14:paraId="63C52E7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637.98</w:t>
            </w:r>
          </w:p>
        </w:tc>
        <w:tc>
          <w:tcPr>
            <w:tcW w:w="1208" w:type="dxa"/>
            <w:tcBorders>
              <w:top w:val="single" w:sz="4" w:space="0" w:color="AEAAAA" w:themeColor="background2" w:themeShade="BF"/>
              <w:bottom w:val="single" w:sz="4" w:space="0" w:color="AEAAAA" w:themeColor="background2" w:themeShade="BF"/>
            </w:tcBorders>
          </w:tcPr>
          <w:p w14:paraId="1E941366"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169.69</w:t>
            </w:r>
          </w:p>
        </w:tc>
      </w:tr>
      <w:tr w:rsidR="00450A49" w:rsidRPr="002D7E9D" w14:paraId="0A86F6CE" w14:textId="77777777" w:rsidTr="00D74BE2">
        <w:tc>
          <w:tcPr>
            <w:tcW w:w="1257" w:type="dxa"/>
            <w:vMerge/>
          </w:tcPr>
          <w:p w14:paraId="21955530"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tcPr>
          <w:p w14:paraId="78F1C7EF"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 xml:space="preserve">Δ </w:t>
            </w:r>
            <w:r w:rsidRPr="002D7E9D">
              <w:rPr>
                <w:rFonts w:eastAsia="HGSMinchoE"/>
                <w:color w:val="000000" w:themeColor="text1"/>
              </w:rPr>
              <w:t>AIC</w:t>
            </w:r>
          </w:p>
        </w:tc>
        <w:tc>
          <w:tcPr>
            <w:tcW w:w="1085" w:type="dxa"/>
            <w:tcBorders>
              <w:top w:val="single" w:sz="4" w:space="0" w:color="AEAAAA" w:themeColor="background2" w:themeShade="BF"/>
            </w:tcBorders>
          </w:tcPr>
          <w:p w14:paraId="6E90102F"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18.79</w:t>
            </w:r>
          </w:p>
        </w:tc>
        <w:tc>
          <w:tcPr>
            <w:tcW w:w="1233" w:type="dxa"/>
            <w:tcBorders>
              <w:top w:val="single" w:sz="4" w:space="0" w:color="AEAAAA" w:themeColor="background2" w:themeShade="BF"/>
            </w:tcBorders>
          </w:tcPr>
          <w:p w14:paraId="27C9DEB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106.93</w:t>
            </w:r>
          </w:p>
        </w:tc>
        <w:tc>
          <w:tcPr>
            <w:tcW w:w="1251" w:type="dxa"/>
            <w:tcBorders>
              <w:top w:val="single" w:sz="4" w:space="0" w:color="AEAAAA" w:themeColor="background2" w:themeShade="BF"/>
            </w:tcBorders>
          </w:tcPr>
          <w:p w14:paraId="06723E9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-0.41</w:t>
            </w:r>
          </w:p>
        </w:tc>
        <w:tc>
          <w:tcPr>
            <w:tcW w:w="1037" w:type="dxa"/>
            <w:tcBorders>
              <w:top w:val="single" w:sz="4" w:space="0" w:color="AEAAAA" w:themeColor="background2" w:themeShade="BF"/>
            </w:tcBorders>
          </w:tcPr>
          <w:p w14:paraId="67D80976"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319.55</w:t>
            </w:r>
          </w:p>
        </w:tc>
        <w:tc>
          <w:tcPr>
            <w:tcW w:w="1037" w:type="dxa"/>
            <w:tcBorders>
              <w:top w:val="single" w:sz="4" w:space="0" w:color="AEAAAA" w:themeColor="background2" w:themeShade="BF"/>
            </w:tcBorders>
          </w:tcPr>
          <w:p w14:paraId="65EFCF3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78.80</w:t>
            </w:r>
          </w:p>
        </w:tc>
        <w:tc>
          <w:tcPr>
            <w:tcW w:w="1208" w:type="dxa"/>
            <w:tcBorders>
              <w:top w:val="single" w:sz="4" w:space="0" w:color="AEAAAA" w:themeColor="background2" w:themeShade="BF"/>
            </w:tcBorders>
          </w:tcPr>
          <w:p w14:paraId="3BECE7D7"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0</w:t>
            </w:r>
          </w:p>
        </w:tc>
      </w:tr>
      <w:tr w:rsidR="00450A49" w:rsidRPr="002D7E9D" w14:paraId="6CCAC802" w14:textId="77777777" w:rsidTr="00D74BE2">
        <w:tc>
          <w:tcPr>
            <w:tcW w:w="1257" w:type="dxa"/>
            <w:vMerge w:val="restart"/>
            <w:shd w:val="clear" w:color="auto" w:fill="F2F2F2" w:themeFill="background1" w:themeFillShade="F2"/>
          </w:tcPr>
          <w:p w14:paraId="76B6EC3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Growth</w:t>
            </w:r>
          </w:p>
        </w:tc>
        <w:tc>
          <w:tcPr>
            <w:tcW w:w="1242" w:type="dxa"/>
            <w:tcBorders>
              <w:bottom w:val="single" w:sz="4" w:space="0" w:color="AEAAAA" w:themeColor="background2" w:themeShade="BF"/>
            </w:tcBorders>
            <w:shd w:val="clear" w:color="auto" w:fill="F2F2F2" w:themeFill="background1" w:themeFillShade="F2"/>
          </w:tcPr>
          <w:p w14:paraId="628FE5D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45718BC6" w14:textId="77777777" w:rsidR="00450A49" w:rsidRPr="002D7E9D" w:rsidRDefault="00450A49" w:rsidP="00D74BE2">
            <w:pPr>
              <w:pStyle w:val="NormalWeb"/>
              <w:rPr>
                <w:rFonts w:eastAsia="HGSMinchoE"/>
                <w:color w:val="000000" w:themeColor="text1"/>
              </w:rPr>
            </w:pPr>
            <w:r w:rsidRPr="002D7E9D">
              <w:rPr>
                <w:color w:val="000000" w:themeColor="text1"/>
              </w:rPr>
              <w:t xml:space="preserve">511.97         </w:t>
            </w:r>
          </w:p>
        </w:tc>
        <w:tc>
          <w:tcPr>
            <w:tcW w:w="1233" w:type="dxa"/>
            <w:tcBorders>
              <w:bottom w:val="single" w:sz="4" w:space="0" w:color="AEAAAA" w:themeColor="background2" w:themeShade="BF"/>
            </w:tcBorders>
            <w:shd w:val="clear" w:color="auto" w:fill="F2F2F2" w:themeFill="background1" w:themeFillShade="F2"/>
          </w:tcPr>
          <w:p w14:paraId="300C11E2"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951.59</w:t>
            </w:r>
          </w:p>
        </w:tc>
        <w:tc>
          <w:tcPr>
            <w:tcW w:w="1251" w:type="dxa"/>
            <w:tcBorders>
              <w:bottom w:val="single" w:sz="4" w:space="0" w:color="AEAAAA" w:themeColor="background2" w:themeShade="BF"/>
            </w:tcBorders>
            <w:shd w:val="clear" w:color="auto" w:fill="F2F2F2" w:themeFill="background1" w:themeFillShade="F2"/>
          </w:tcPr>
          <w:p w14:paraId="5A16D49B"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1100.00</w:t>
            </w:r>
          </w:p>
        </w:tc>
        <w:tc>
          <w:tcPr>
            <w:tcW w:w="1037" w:type="dxa"/>
            <w:tcBorders>
              <w:bottom w:val="single" w:sz="4" w:space="0" w:color="AEAAAA" w:themeColor="background2" w:themeShade="BF"/>
            </w:tcBorders>
            <w:shd w:val="clear" w:color="auto" w:fill="F2F2F2" w:themeFill="background1" w:themeFillShade="F2"/>
          </w:tcPr>
          <w:p w14:paraId="38E71F6B" w14:textId="77777777" w:rsidR="00450A49" w:rsidRPr="002D7E9D" w:rsidRDefault="00450A49" w:rsidP="00D74BE2">
            <w:pPr>
              <w:pStyle w:val="NormalWeb"/>
              <w:rPr>
                <w:rFonts w:eastAsia="HGSMinchoE"/>
                <w:color w:val="000000" w:themeColor="text1"/>
              </w:rPr>
            </w:pPr>
            <w:r w:rsidRPr="002D7E9D">
              <w:rPr>
                <w:color w:val="000000" w:themeColor="text1"/>
              </w:rPr>
              <w:t>1570.03</w:t>
            </w:r>
          </w:p>
        </w:tc>
        <w:tc>
          <w:tcPr>
            <w:tcW w:w="1037" w:type="dxa"/>
            <w:tcBorders>
              <w:bottom w:val="single" w:sz="4" w:space="0" w:color="AEAAAA" w:themeColor="background2" w:themeShade="BF"/>
            </w:tcBorders>
            <w:shd w:val="clear" w:color="auto" w:fill="F2F2F2" w:themeFill="background1" w:themeFillShade="F2"/>
          </w:tcPr>
          <w:p w14:paraId="15AD0EEF" w14:textId="77777777" w:rsidR="00450A49" w:rsidRPr="002D7E9D" w:rsidRDefault="00450A49" w:rsidP="00D74BE2">
            <w:pPr>
              <w:pStyle w:val="NormalWeb"/>
              <w:rPr>
                <w:rFonts w:eastAsia="HGSMinchoE"/>
                <w:color w:val="000000" w:themeColor="text1"/>
              </w:rPr>
            </w:pPr>
            <w:r w:rsidRPr="002D7E9D">
              <w:rPr>
                <w:color w:val="000000" w:themeColor="text1"/>
              </w:rPr>
              <w:t>291.46</w:t>
            </w:r>
          </w:p>
        </w:tc>
        <w:tc>
          <w:tcPr>
            <w:tcW w:w="1208" w:type="dxa"/>
            <w:tcBorders>
              <w:bottom w:val="single" w:sz="4" w:space="0" w:color="AEAAAA" w:themeColor="background2" w:themeShade="BF"/>
            </w:tcBorders>
            <w:shd w:val="clear" w:color="auto" w:fill="F2F2F2" w:themeFill="background1" w:themeFillShade="F2"/>
          </w:tcPr>
          <w:p w14:paraId="2B22B01B" w14:textId="77777777" w:rsidR="00450A49" w:rsidRPr="002D7E9D" w:rsidRDefault="00450A49" w:rsidP="00D74BE2">
            <w:pPr>
              <w:pStyle w:val="NormalWeb"/>
              <w:rPr>
                <w:rFonts w:eastAsia="HGSMinchoE"/>
                <w:color w:val="000000" w:themeColor="text1"/>
              </w:rPr>
            </w:pPr>
            <w:r w:rsidRPr="002D7E9D">
              <w:rPr>
                <w:color w:val="000000" w:themeColor="text1"/>
              </w:rPr>
              <w:t>113.16</w:t>
            </w:r>
          </w:p>
        </w:tc>
      </w:tr>
      <w:tr w:rsidR="00450A49" w:rsidRPr="002D7E9D" w14:paraId="169569AC" w14:textId="77777777" w:rsidTr="00D74BE2">
        <w:tc>
          <w:tcPr>
            <w:tcW w:w="1257" w:type="dxa"/>
            <w:vMerge/>
            <w:shd w:val="clear" w:color="auto" w:fill="F2F2F2" w:themeFill="background1" w:themeFillShade="F2"/>
          </w:tcPr>
          <w:p w14:paraId="3A67EA84"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3F9C921C"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49E12F0" w14:textId="77777777" w:rsidR="00450A49" w:rsidRPr="002D7E9D" w:rsidRDefault="00450A49" w:rsidP="00D74BE2">
            <w:pPr>
              <w:pStyle w:val="NormalWeb"/>
              <w:rPr>
                <w:rFonts w:eastAsia="HGSMinchoE"/>
                <w:color w:val="000000" w:themeColor="text1"/>
              </w:rPr>
            </w:pPr>
            <w:r w:rsidRPr="002D7E9D">
              <w:rPr>
                <w:color w:val="000000" w:themeColor="text1"/>
              </w:rPr>
              <w:t>508.07</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6F49681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935.49</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6E2A16C9"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1070.15</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FB9094A" w14:textId="77777777" w:rsidR="00450A49" w:rsidRPr="002D7E9D" w:rsidRDefault="00450A49" w:rsidP="00D74BE2">
            <w:pPr>
              <w:pStyle w:val="NormalWeb"/>
              <w:rPr>
                <w:rFonts w:eastAsia="HGSMinchoE"/>
                <w:color w:val="000000" w:themeColor="text1"/>
              </w:rPr>
            </w:pPr>
            <w:r w:rsidRPr="002D7E9D">
              <w:rPr>
                <w:color w:val="000000" w:themeColor="text1"/>
              </w:rPr>
              <w:t>1109.27</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8A647DA" w14:textId="77777777" w:rsidR="00450A49" w:rsidRPr="002D7E9D" w:rsidRDefault="00450A49" w:rsidP="00D74BE2">
            <w:pPr>
              <w:pStyle w:val="NormalWeb"/>
              <w:rPr>
                <w:rFonts w:eastAsia="HGSMinchoE"/>
                <w:color w:val="000000" w:themeColor="text1"/>
              </w:rPr>
            </w:pPr>
            <w:r w:rsidRPr="002D7E9D">
              <w:rPr>
                <w:color w:val="000000" w:themeColor="text1"/>
              </w:rPr>
              <w:t>259.15</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E1F6C94" w14:textId="77777777" w:rsidR="00450A49" w:rsidRPr="002D7E9D" w:rsidRDefault="00450A49" w:rsidP="00D74BE2">
            <w:pPr>
              <w:pStyle w:val="NormalWeb"/>
              <w:rPr>
                <w:rFonts w:eastAsia="HGSMinchoE"/>
                <w:color w:val="000000" w:themeColor="text1"/>
              </w:rPr>
            </w:pPr>
            <w:r w:rsidRPr="002D7E9D">
              <w:rPr>
                <w:color w:val="000000" w:themeColor="text1"/>
              </w:rPr>
              <w:t>113.16</w:t>
            </w:r>
          </w:p>
        </w:tc>
      </w:tr>
      <w:tr w:rsidR="00450A49" w:rsidRPr="002D7E9D" w14:paraId="2ABD86FA" w14:textId="77777777" w:rsidTr="00D74BE2">
        <w:tc>
          <w:tcPr>
            <w:tcW w:w="1257" w:type="dxa"/>
            <w:vMerge/>
            <w:shd w:val="clear" w:color="auto" w:fill="F2F2F2" w:themeFill="background1" w:themeFillShade="F2"/>
          </w:tcPr>
          <w:p w14:paraId="7D03A15B"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0F5210E7"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Δ</w:t>
            </w:r>
            <w:r w:rsidRPr="002D7E9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5A5F36AC" w14:textId="77777777" w:rsidR="00450A49" w:rsidRPr="002D7E9D" w:rsidRDefault="00450A49" w:rsidP="00D74BE2">
            <w:pPr>
              <w:pStyle w:val="NormalWeb"/>
              <w:rPr>
                <w:rFonts w:eastAsia="HGSMinchoE"/>
                <w:color w:val="000000" w:themeColor="text1"/>
              </w:rPr>
            </w:pPr>
            <w:r w:rsidRPr="002D7E9D">
              <w:rPr>
                <w:color w:val="000000" w:themeColor="text1"/>
              </w:rPr>
              <w:t>3.89</w:t>
            </w:r>
          </w:p>
        </w:tc>
        <w:tc>
          <w:tcPr>
            <w:tcW w:w="1233" w:type="dxa"/>
            <w:tcBorders>
              <w:top w:val="single" w:sz="4" w:space="0" w:color="AEAAAA" w:themeColor="background2" w:themeShade="BF"/>
            </w:tcBorders>
            <w:shd w:val="clear" w:color="auto" w:fill="F2F2F2" w:themeFill="background1" w:themeFillShade="F2"/>
          </w:tcPr>
          <w:p w14:paraId="11C14CA3"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16.10</w:t>
            </w:r>
          </w:p>
        </w:tc>
        <w:tc>
          <w:tcPr>
            <w:tcW w:w="1251" w:type="dxa"/>
            <w:tcBorders>
              <w:top w:val="single" w:sz="4" w:space="0" w:color="AEAAAA" w:themeColor="background2" w:themeShade="BF"/>
            </w:tcBorders>
            <w:shd w:val="clear" w:color="auto" w:fill="F2F2F2" w:themeFill="background1" w:themeFillShade="F2"/>
          </w:tcPr>
          <w:p w14:paraId="3FA5CF2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29.85</w:t>
            </w:r>
          </w:p>
        </w:tc>
        <w:tc>
          <w:tcPr>
            <w:tcW w:w="1037" w:type="dxa"/>
            <w:tcBorders>
              <w:top w:val="single" w:sz="4" w:space="0" w:color="AEAAAA" w:themeColor="background2" w:themeShade="BF"/>
            </w:tcBorders>
            <w:shd w:val="clear" w:color="auto" w:fill="F2F2F2" w:themeFill="background1" w:themeFillShade="F2"/>
          </w:tcPr>
          <w:p w14:paraId="5707C428" w14:textId="77777777" w:rsidR="00450A49" w:rsidRPr="002D7E9D" w:rsidRDefault="00450A49" w:rsidP="00D74BE2">
            <w:pPr>
              <w:pStyle w:val="NormalWeb"/>
              <w:rPr>
                <w:rFonts w:eastAsia="HGSMinchoE"/>
                <w:color w:val="000000" w:themeColor="text1"/>
              </w:rPr>
            </w:pPr>
            <w:r w:rsidRPr="002D7E9D">
              <w:rPr>
                <w:color w:val="000000" w:themeColor="text1"/>
              </w:rPr>
              <w:t>460.76</w:t>
            </w:r>
          </w:p>
        </w:tc>
        <w:tc>
          <w:tcPr>
            <w:tcW w:w="1037" w:type="dxa"/>
            <w:tcBorders>
              <w:top w:val="single" w:sz="4" w:space="0" w:color="AEAAAA" w:themeColor="background2" w:themeShade="BF"/>
            </w:tcBorders>
            <w:shd w:val="clear" w:color="auto" w:fill="F2F2F2" w:themeFill="background1" w:themeFillShade="F2"/>
          </w:tcPr>
          <w:p w14:paraId="5FFD21F3" w14:textId="77777777" w:rsidR="00450A49" w:rsidRPr="002D7E9D" w:rsidRDefault="00450A49" w:rsidP="00D74BE2">
            <w:pPr>
              <w:pStyle w:val="NormalWeb"/>
              <w:rPr>
                <w:rFonts w:eastAsia="HGSMinchoE"/>
                <w:color w:val="000000" w:themeColor="text1"/>
              </w:rPr>
            </w:pPr>
            <w:r w:rsidRPr="002D7E9D">
              <w:rPr>
                <w:color w:val="000000" w:themeColor="text1"/>
              </w:rPr>
              <w:t>32.31</w:t>
            </w:r>
          </w:p>
        </w:tc>
        <w:tc>
          <w:tcPr>
            <w:tcW w:w="1208" w:type="dxa"/>
            <w:tcBorders>
              <w:top w:val="single" w:sz="4" w:space="0" w:color="AEAAAA" w:themeColor="background2" w:themeShade="BF"/>
            </w:tcBorders>
            <w:shd w:val="clear" w:color="auto" w:fill="F2F2F2" w:themeFill="background1" w:themeFillShade="F2"/>
          </w:tcPr>
          <w:p w14:paraId="0D0C44F1" w14:textId="77777777" w:rsidR="00450A49" w:rsidRPr="002D7E9D" w:rsidRDefault="00450A49" w:rsidP="00D74BE2">
            <w:pPr>
              <w:pStyle w:val="NormalWeb"/>
              <w:rPr>
                <w:rFonts w:eastAsia="HGSMinchoE"/>
                <w:color w:val="000000" w:themeColor="text1"/>
              </w:rPr>
            </w:pPr>
            <w:r w:rsidRPr="002D7E9D">
              <w:rPr>
                <w:color w:val="000000" w:themeColor="text1"/>
              </w:rPr>
              <w:t xml:space="preserve"> 0</w:t>
            </w:r>
          </w:p>
        </w:tc>
      </w:tr>
      <w:tr w:rsidR="00450A49" w:rsidRPr="002D7E9D" w14:paraId="43843574" w14:textId="77777777" w:rsidTr="00D74BE2">
        <w:tc>
          <w:tcPr>
            <w:tcW w:w="1257" w:type="dxa"/>
            <w:vMerge w:val="restart"/>
          </w:tcPr>
          <w:p w14:paraId="43EFEBD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Flowering</w:t>
            </w:r>
          </w:p>
        </w:tc>
        <w:tc>
          <w:tcPr>
            <w:tcW w:w="1242" w:type="dxa"/>
            <w:tcBorders>
              <w:bottom w:val="single" w:sz="4" w:space="0" w:color="AEAAAA" w:themeColor="background2" w:themeShade="BF"/>
            </w:tcBorders>
          </w:tcPr>
          <w:p w14:paraId="6637EB86"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tcPr>
          <w:p w14:paraId="0A537203" w14:textId="77777777" w:rsidR="00450A49" w:rsidRPr="002D7E9D" w:rsidRDefault="00450A49" w:rsidP="00D74BE2">
            <w:pPr>
              <w:pStyle w:val="NormalWeb"/>
              <w:rPr>
                <w:rFonts w:eastAsia="HGSMinchoE"/>
                <w:color w:val="000000" w:themeColor="text1"/>
              </w:rPr>
            </w:pPr>
            <w:r w:rsidRPr="002D7E9D">
              <w:rPr>
                <w:color w:val="000000" w:themeColor="text1"/>
              </w:rPr>
              <w:t xml:space="preserve">371.68  </w:t>
            </w:r>
          </w:p>
        </w:tc>
        <w:tc>
          <w:tcPr>
            <w:tcW w:w="1233" w:type="dxa"/>
            <w:tcBorders>
              <w:bottom w:val="single" w:sz="4" w:space="0" w:color="AEAAAA" w:themeColor="background2" w:themeShade="BF"/>
            </w:tcBorders>
          </w:tcPr>
          <w:p w14:paraId="3E499A02" w14:textId="77777777" w:rsidR="00450A49" w:rsidRPr="002D7E9D" w:rsidRDefault="00450A49" w:rsidP="00D74BE2">
            <w:pPr>
              <w:pStyle w:val="NormalWeb"/>
              <w:rPr>
                <w:rFonts w:eastAsia="HGSMinchoE"/>
                <w:color w:val="000000" w:themeColor="text1"/>
              </w:rPr>
            </w:pPr>
            <w:r w:rsidRPr="002D7E9D">
              <w:rPr>
                <w:color w:val="000000" w:themeColor="text1"/>
              </w:rPr>
              <w:t>523.30</w:t>
            </w:r>
          </w:p>
        </w:tc>
        <w:tc>
          <w:tcPr>
            <w:tcW w:w="1251" w:type="dxa"/>
            <w:tcBorders>
              <w:bottom w:val="single" w:sz="4" w:space="0" w:color="AEAAAA" w:themeColor="background2" w:themeShade="BF"/>
            </w:tcBorders>
          </w:tcPr>
          <w:p w14:paraId="28A60C0E" w14:textId="77777777" w:rsidR="00450A49" w:rsidRPr="002D7E9D" w:rsidRDefault="00450A49" w:rsidP="00D74BE2">
            <w:pPr>
              <w:pStyle w:val="NormalWeb"/>
              <w:rPr>
                <w:rFonts w:eastAsia="HGSMinchoE"/>
                <w:color w:val="000000" w:themeColor="text1"/>
              </w:rPr>
            </w:pPr>
            <w:r w:rsidRPr="002D7E9D">
              <w:rPr>
                <w:color w:val="000000" w:themeColor="text1"/>
              </w:rPr>
              <w:t>1087.93</w:t>
            </w:r>
          </w:p>
        </w:tc>
        <w:tc>
          <w:tcPr>
            <w:tcW w:w="1037" w:type="dxa"/>
            <w:tcBorders>
              <w:bottom w:val="single" w:sz="4" w:space="0" w:color="AEAAAA" w:themeColor="background2" w:themeShade="BF"/>
            </w:tcBorders>
          </w:tcPr>
          <w:p w14:paraId="052939F3" w14:textId="77777777" w:rsidR="00450A49" w:rsidRPr="002D7E9D" w:rsidRDefault="00450A49" w:rsidP="00D74BE2">
            <w:pPr>
              <w:pStyle w:val="NormalWeb"/>
              <w:rPr>
                <w:rFonts w:eastAsia="HGSMinchoE"/>
                <w:color w:val="000000" w:themeColor="text1"/>
              </w:rPr>
            </w:pPr>
            <w:r w:rsidRPr="002D7E9D">
              <w:rPr>
                <w:color w:val="000000" w:themeColor="text1"/>
              </w:rPr>
              <w:t>538.55</w:t>
            </w:r>
          </w:p>
        </w:tc>
        <w:tc>
          <w:tcPr>
            <w:tcW w:w="1037" w:type="dxa"/>
            <w:tcBorders>
              <w:bottom w:val="single" w:sz="4" w:space="0" w:color="AEAAAA" w:themeColor="background2" w:themeShade="BF"/>
            </w:tcBorders>
          </w:tcPr>
          <w:p w14:paraId="19A0CFFC" w14:textId="77777777" w:rsidR="00450A49" w:rsidRPr="002D7E9D" w:rsidRDefault="00450A49" w:rsidP="00D74BE2">
            <w:pPr>
              <w:pStyle w:val="NormalWeb"/>
              <w:rPr>
                <w:rFonts w:eastAsia="HGSMinchoE"/>
                <w:color w:val="000000" w:themeColor="text1"/>
              </w:rPr>
            </w:pPr>
            <w:r w:rsidRPr="002D7E9D">
              <w:rPr>
                <w:color w:val="000000" w:themeColor="text1"/>
              </w:rPr>
              <w:t xml:space="preserve">191.46  </w:t>
            </w:r>
          </w:p>
        </w:tc>
        <w:tc>
          <w:tcPr>
            <w:tcW w:w="1208" w:type="dxa"/>
            <w:tcBorders>
              <w:bottom w:val="single" w:sz="4" w:space="0" w:color="AEAAAA" w:themeColor="background2" w:themeShade="BF"/>
            </w:tcBorders>
          </w:tcPr>
          <w:p w14:paraId="4957AC92" w14:textId="77777777" w:rsidR="00450A49" w:rsidRPr="002D7E9D" w:rsidRDefault="00450A49" w:rsidP="00D74BE2">
            <w:pPr>
              <w:pStyle w:val="NormalWeb"/>
              <w:rPr>
                <w:rFonts w:eastAsia="HGSMinchoE"/>
                <w:color w:val="000000" w:themeColor="text1"/>
              </w:rPr>
            </w:pPr>
            <w:r w:rsidRPr="002D7E9D">
              <w:rPr>
                <w:color w:val="000000" w:themeColor="text1"/>
              </w:rPr>
              <w:t>104.24</w:t>
            </w:r>
          </w:p>
        </w:tc>
      </w:tr>
      <w:tr w:rsidR="00450A49" w:rsidRPr="002D7E9D" w14:paraId="1A5D8B82" w14:textId="77777777" w:rsidTr="00D74BE2">
        <w:tc>
          <w:tcPr>
            <w:tcW w:w="1257" w:type="dxa"/>
            <w:vMerge/>
          </w:tcPr>
          <w:p w14:paraId="420389DE"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1CCCE49D"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7B6B2224" w14:textId="77777777" w:rsidR="00450A49" w:rsidRPr="002D7E9D" w:rsidRDefault="00450A49" w:rsidP="00D74BE2">
            <w:pPr>
              <w:pStyle w:val="NormalWeb"/>
              <w:rPr>
                <w:rFonts w:eastAsia="HGSMinchoE"/>
                <w:color w:val="000000" w:themeColor="text1"/>
              </w:rPr>
            </w:pPr>
            <w:r w:rsidRPr="002D7E9D">
              <w:rPr>
                <w:color w:val="000000" w:themeColor="text1"/>
              </w:rPr>
              <w:t>373.31</w:t>
            </w:r>
          </w:p>
        </w:tc>
        <w:tc>
          <w:tcPr>
            <w:tcW w:w="1233" w:type="dxa"/>
            <w:tcBorders>
              <w:top w:val="single" w:sz="4" w:space="0" w:color="AEAAAA" w:themeColor="background2" w:themeShade="BF"/>
              <w:bottom w:val="single" w:sz="4" w:space="0" w:color="AEAAAA" w:themeColor="background2" w:themeShade="BF"/>
            </w:tcBorders>
          </w:tcPr>
          <w:p w14:paraId="5809A761" w14:textId="77777777" w:rsidR="00450A49" w:rsidRPr="002D7E9D" w:rsidRDefault="00450A49" w:rsidP="00D74BE2">
            <w:pPr>
              <w:pStyle w:val="NormalWeb"/>
              <w:rPr>
                <w:rFonts w:eastAsia="HGSMinchoE"/>
                <w:color w:val="000000" w:themeColor="text1"/>
              </w:rPr>
            </w:pPr>
            <w:r w:rsidRPr="002D7E9D">
              <w:rPr>
                <w:color w:val="000000" w:themeColor="text1"/>
              </w:rPr>
              <w:t xml:space="preserve">523.73        </w:t>
            </w:r>
          </w:p>
        </w:tc>
        <w:tc>
          <w:tcPr>
            <w:tcW w:w="1251" w:type="dxa"/>
            <w:tcBorders>
              <w:top w:val="single" w:sz="4" w:space="0" w:color="AEAAAA" w:themeColor="background2" w:themeShade="BF"/>
              <w:bottom w:val="single" w:sz="4" w:space="0" w:color="AEAAAA" w:themeColor="background2" w:themeShade="BF"/>
            </w:tcBorders>
          </w:tcPr>
          <w:p w14:paraId="05670816" w14:textId="77777777" w:rsidR="00450A49" w:rsidRPr="002D7E9D" w:rsidRDefault="00450A49" w:rsidP="00D74BE2">
            <w:pPr>
              <w:pStyle w:val="NormalWeb"/>
              <w:rPr>
                <w:rFonts w:eastAsia="HGSMinchoE"/>
                <w:color w:val="000000" w:themeColor="text1"/>
              </w:rPr>
            </w:pPr>
            <w:r w:rsidRPr="002D7E9D">
              <w:rPr>
                <w:color w:val="000000" w:themeColor="text1"/>
              </w:rPr>
              <w:t>1087.48</w:t>
            </w:r>
          </w:p>
        </w:tc>
        <w:tc>
          <w:tcPr>
            <w:tcW w:w="1037" w:type="dxa"/>
            <w:tcBorders>
              <w:top w:val="single" w:sz="4" w:space="0" w:color="AEAAAA" w:themeColor="background2" w:themeShade="BF"/>
              <w:bottom w:val="single" w:sz="4" w:space="0" w:color="AEAAAA" w:themeColor="background2" w:themeShade="BF"/>
            </w:tcBorders>
          </w:tcPr>
          <w:p w14:paraId="5CADF148" w14:textId="77777777" w:rsidR="00450A49" w:rsidRPr="002D7E9D" w:rsidRDefault="00450A49" w:rsidP="00D74BE2">
            <w:pPr>
              <w:pStyle w:val="NormalWeb"/>
              <w:rPr>
                <w:rFonts w:eastAsia="HGSMinchoE"/>
                <w:color w:val="000000" w:themeColor="text1"/>
              </w:rPr>
            </w:pPr>
            <w:r w:rsidRPr="002D7E9D">
              <w:rPr>
                <w:color w:val="000000" w:themeColor="text1"/>
              </w:rPr>
              <w:t>483.99</w:t>
            </w:r>
          </w:p>
        </w:tc>
        <w:tc>
          <w:tcPr>
            <w:tcW w:w="1037" w:type="dxa"/>
            <w:tcBorders>
              <w:top w:val="single" w:sz="4" w:space="0" w:color="AEAAAA" w:themeColor="background2" w:themeShade="BF"/>
              <w:bottom w:val="single" w:sz="4" w:space="0" w:color="AEAAAA" w:themeColor="background2" w:themeShade="BF"/>
            </w:tcBorders>
          </w:tcPr>
          <w:p w14:paraId="180E4754" w14:textId="77777777" w:rsidR="00450A49" w:rsidRPr="002D7E9D" w:rsidRDefault="00450A49" w:rsidP="00D74BE2">
            <w:pPr>
              <w:pStyle w:val="NormalWeb"/>
              <w:rPr>
                <w:rFonts w:eastAsia="HGSMinchoE"/>
                <w:color w:val="000000" w:themeColor="text1"/>
              </w:rPr>
            </w:pPr>
            <w:r w:rsidRPr="002D7E9D">
              <w:rPr>
                <w:color w:val="000000" w:themeColor="text1"/>
              </w:rPr>
              <w:t xml:space="preserve">193.22  </w:t>
            </w:r>
          </w:p>
        </w:tc>
        <w:tc>
          <w:tcPr>
            <w:tcW w:w="1208" w:type="dxa"/>
            <w:tcBorders>
              <w:top w:val="single" w:sz="4" w:space="0" w:color="AEAAAA" w:themeColor="background2" w:themeShade="BF"/>
              <w:bottom w:val="single" w:sz="4" w:space="0" w:color="AEAAAA" w:themeColor="background2" w:themeShade="BF"/>
            </w:tcBorders>
          </w:tcPr>
          <w:p w14:paraId="76D311C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106.05</w:t>
            </w:r>
          </w:p>
        </w:tc>
      </w:tr>
      <w:tr w:rsidR="00450A49" w:rsidRPr="002D7E9D" w14:paraId="7343ADA4" w14:textId="77777777" w:rsidTr="00D74BE2">
        <w:tc>
          <w:tcPr>
            <w:tcW w:w="1257" w:type="dxa"/>
            <w:vMerge/>
          </w:tcPr>
          <w:p w14:paraId="11BDC515"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tcPr>
          <w:p w14:paraId="383E7BB7"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Δ</w:t>
            </w:r>
            <w:r w:rsidRPr="002D7E9D">
              <w:rPr>
                <w:rFonts w:eastAsia="HGSMinchoE"/>
                <w:color w:val="000000" w:themeColor="text1"/>
              </w:rPr>
              <w:t xml:space="preserve"> AIC</w:t>
            </w:r>
          </w:p>
        </w:tc>
        <w:tc>
          <w:tcPr>
            <w:tcW w:w="1085" w:type="dxa"/>
            <w:tcBorders>
              <w:top w:val="single" w:sz="4" w:space="0" w:color="AEAAAA" w:themeColor="background2" w:themeShade="BF"/>
            </w:tcBorders>
          </w:tcPr>
          <w:p w14:paraId="501CE117" w14:textId="77777777" w:rsidR="00450A49" w:rsidRPr="002D7E9D" w:rsidRDefault="00450A49" w:rsidP="00D74BE2">
            <w:pPr>
              <w:pStyle w:val="NormalWeb"/>
              <w:rPr>
                <w:rFonts w:eastAsia="HGSMinchoE"/>
                <w:color w:val="000000" w:themeColor="text1"/>
              </w:rPr>
            </w:pPr>
            <w:r w:rsidRPr="002D7E9D">
              <w:rPr>
                <w:color w:val="000000" w:themeColor="text1"/>
              </w:rPr>
              <w:t>-1.63</w:t>
            </w:r>
          </w:p>
        </w:tc>
        <w:tc>
          <w:tcPr>
            <w:tcW w:w="1233" w:type="dxa"/>
            <w:tcBorders>
              <w:top w:val="single" w:sz="4" w:space="0" w:color="AEAAAA" w:themeColor="background2" w:themeShade="BF"/>
            </w:tcBorders>
          </w:tcPr>
          <w:p w14:paraId="7EF3FF60" w14:textId="77777777" w:rsidR="00450A49" w:rsidRPr="002D7E9D" w:rsidRDefault="00450A49" w:rsidP="00D74BE2">
            <w:pPr>
              <w:pStyle w:val="NormalWeb"/>
              <w:rPr>
                <w:rFonts w:eastAsia="HGSMinchoE"/>
                <w:color w:val="000000" w:themeColor="text1"/>
              </w:rPr>
            </w:pPr>
            <w:r w:rsidRPr="002D7E9D">
              <w:rPr>
                <w:color w:val="000000" w:themeColor="text1"/>
              </w:rPr>
              <w:t>-0.44</w:t>
            </w:r>
          </w:p>
        </w:tc>
        <w:tc>
          <w:tcPr>
            <w:tcW w:w="1251" w:type="dxa"/>
            <w:tcBorders>
              <w:top w:val="single" w:sz="4" w:space="0" w:color="AEAAAA" w:themeColor="background2" w:themeShade="BF"/>
            </w:tcBorders>
          </w:tcPr>
          <w:p w14:paraId="719905C6"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0.45</w:t>
            </w:r>
          </w:p>
        </w:tc>
        <w:tc>
          <w:tcPr>
            <w:tcW w:w="1037" w:type="dxa"/>
            <w:tcBorders>
              <w:top w:val="single" w:sz="4" w:space="0" w:color="AEAAAA" w:themeColor="background2" w:themeShade="BF"/>
            </w:tcBorders>
          </w:tcPr>
          <w:p w14:paraId="167F7F88" w14:textId="77777777" w:rsidR="00450A49" w:rsidRPr="002D7E9D" w:rsidRDefault="00450A49" w:rsidP="00D74BE2">
            <w:pPr>
              <w:pStyle w:val="NormalWeb"/>
              <w:rPr>
                <w:rFonts w:eastAsia="HGSMinchoE"/>
                <w:color w:val="000000" w:themeColor="text1"/>
              </w:rPr>
            </w:pPr>
            <w:r w:rsidRPr="002D7E9D">
              <w:rPr>
                <w:color w:val="000000" w:themeColor="text1"/>
              </w:rPr>
              <w:t>54.52</w:t>
            </w:r>
          </w:p>
        </w:tc>
        <w:tc>
          <w:tcPr>
            <w:tcW w:w="1037" w:type="dxa"/>
            <w:tcBorders>
              <w:top w:val="single" w:sz="4" w:space="0" w:color="AEAAAA" w:themeColor="background2" w:themeShade="BF"/>
            </w:tcBorders>
          </w:tcPr>
          <w:p w14:paraId="344C4EF6" w14:textId="77777777" w:rsidR="00450A49" w:rsidRPr="002D7E9D" w:rsidRDefault="00450A49" w:rsidP="00D74BE2">
            <w:pPr>
              <w:pStyle w:val="NormalWeb"/>
              <w:rPr>
                <w:rFonts w:eastAsia="HGSMinchoE"/>
                <w:color w:val="000000" w:themeColor="text1"/>
              </w:rPr>
            </w:pPr>
            <w:r w:rsidRPr="002D7E9D">
              <w:rPr>
                <w:color w:val="000000" w:themeColor="text1"/>
              </w:rPr>
              <w:t xml:space="preserve">-1.76   </w:t>
            </w:r>
          </w:p>
        </w:tc>
        <w:tc>
          <w:tcPr>
            <w:tcW w:w="1208" w:type="dxa"/>
            <w:tcBorders>
              <w:top w:val="single" w:sz="4" w:space="0" w:color="AEAAAA" w:themeColor="background2" w:themeShade="BF"/>
            </w:tcBorders>
          </w:tcPr>
          <w:p w14:paraId="6E7E02F0" w14:textId="77777777" w:rsidR="00450A49" w:rsidRPr="002D7E9D" w:rsidRDefault="00450A49" w:rsidP="00D74BE2">
            <w:pPr>
              <w:pStyle w:val="NormalWeb"/>
              <w:rPr>
                <w:rFonts w:eastAsia="HGSMinchoE"/>
                <w:color w:val="000000" w:themeColor="text1"/>
              </w:rPr>
            </w:pPr>
            <w:r w:rsidRPr="002D7E9D">
              <w:rPr>
                <w:color w:val="000000" w:themeColor="text1"/>
              </w:rPr>
              <w:t>-1.81</w:t>
            </w:r>
          </w:p>
        </w:tc>
      </w:tr>
      <w:tr w:rsidR="00450A49" w:rsidRPr="002D7E9D" w14:paraId="7849F574" w14:textId="77777777" w:rsidTr="00D74BE2">
        <w:tc>
          <w:tcPr>
            <w:tcW w:w="1257" w:type="dxa"/>
            <w:vMerge w:val="restart"/>
            <w:shd w:val="clear" w:color="auto" w:fill="F2F2F2" w:themeFill="background1" w:themeFillShade="F2"/>
          </w:tcPr>
          <w:p w14:paraId="0669618C"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Seed production</w:t>
            </w:r>
          </w:p>
        </w:tc>
        <w:tc>
          <w:tcPr>
            <w:tcW w:w="1242" w:type="dxa"/>
            <w:tcBorders>
              <w:bottom w:val="single" w:sz="4" w:space="0" w:color="AEAAAA" w:themeColor="background2" w:themeShade="BF"/>
            </w:tcBorders>
            <w:shd w:val="clear" w:color="auto" w:fill="F2F2F2" w:themeFill="background1" w:themeFillShade="F2"/>
          </w:tcPr>
          <w:p w14:paraId="13CFD9CE"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27E3722E" w14:textId="77777777" w:rsidR="00450A49" w:rsidRPr="002D7E9D" w:rsidRDefault="00450A49" w:rsidP="00D74BE2">
            <w:pPr>
              <w:pStyle w:val="NormalWeb"/>
              <w:rPr>
                <w:rFonts w:eastAsia="HGSMinchoE"/>
                <w:color w:val="000000" w:themeColor="text1"/>
              </w:rPr>
            </w:pPr>
            <w:r w:rsidRPr="002D7E9D">
              <w:rPr>
                <w:color w:val="000000" w:themeColor="text1"/>
              </w:rPr>
              <w:t xml:space="preserve">737.74          </w:t>
            </w:r>
          </w:p>
        </w:tc>
        <w:tc>
          <w:tcPr>
            <w:tcW w:w="1233" w:type="dxa"/>
            <w:tcBorders>
              <w:bottom w:val="single" w:sz="4" w:space="0" w:color="AEAAAA" w:themeColor="background2" w:themeShade="BF"/>
            </w:tcBorders>
            <w:shd w:val="clear" w:color="auto" w:fill="F2F2F2" w:themeFill="background1" w:themeFillShade="F2"/>
          </w:tcPr>
          <w:p w14:paraId="5BA006FB" w14:textId="77777777" w:rsidR="00450A49" w:rsidRPr="002D7E9D" w:rsidRDefault="00450A49" w:rsidP="00D74BE2">
            <w:pPr>
              <w:pStyle w:val="NormalWeb"/>
              <w:rPr>
                <w:rFonts w:eastAsia="HGSMinchoE"/>
                <w:color w:val="000000" w:themeColor="text1"/>
              </w:rPr>
            </w:pPr>
            <w:r w:rsidRPr="002D7E9D">
              <w:rPr>
                <w:color w:val="000000" w:themeColor="text1"/>
              </w:rPr>
              <w:t>1397.76</w:t>
            </w:r>
          </w:p>
        </w:tc>
        <w:tc>
          <w:tcPr>
            <w:tcW w:w="1251" w:type="dxa"/>
            <w:tcBorders>
              <w:bottom w:val="single" w:sz="4" w:space="0" w:color="AEAAAA" w:themeColor="background2" w:themeShade="BF"/>
            </w:tcBorders>
            <w:shd w:val="clear" w:color="auto" w:fill="F2F2F2" w:themeFill="background1" w:themeFillShade="F2"/>
          </w:tcPr>
          <w:p w14:paraId="2538B4D6" w14:textId="77777777" w:rsidR="00450A49" w:rsidRPr="002D7E9D" w:rsidRDefault="00450A49" w:rsidP="00D74BE2">
            <w:pPr>
              <w:pStyle w:val="NormalWeb"/>
              <w:rPr>
                <w:rFonts w:eastAsia="HGSMinchoE"/>
                <w:color w:val="000000" w:themeColor="text1"/>
              </w:rPr>
            </w:pPr>
            <w:r w:rsidRPr="002D7E9D">
              <w:rPr>
                <w:color w:val="000000" w:themeColor="text1"/>
              </w:rPr>
              <w:t>2459.80</w:t>
            </w:r>
          </w:p>
        </w:tc>
        <w:tc>
          <w:tcPr>
            <w:tcW w:w="1037" w:type="dxa"/>
            <w:tcBorders>
              <w:bottom w:val="single" w:sz="4" w:space="0" w:color="AEAAAA" w:themeColor="background2" w:themeShade="BF"/>
            </w:tcBorders>
            <w:shd w:val="clear" w:color="auto" w:fill="F2F2F2" w:themeFill="background1" w:themeFillShade="F2"/>
          </w:tcPr>
          <w:p w14:paraId="0B7E2D91" w14:textId="77777777" w:rsidR="00450A49" w:rsidRPr="002D7E9D" w:rsidRDefault="00450A49" w:rsidP="00D74BE2">
            <w:pPr>
              <w:pStyle w:val="NormalWeb"/>
              <w:rPr>
                <w:rFonts w:eastAsia="HGSMinchoE"/>
                <w:color w:val="000000" w:themeColor="text1"/>
              </w:rPr>
            </w:pPr>
            <w:r w:rsidRPr="002D7E9D">
              <w:rPr>
                <w:color w:val="000000" w:themeColor="text1"/>
              </w:rPr>
              <w:t>1248.52</w:t>
            </w:r>
          </w:p>
        </w:tc>
        <w:tc>
          <w:tcPr>
            <w:tcW w:w="1037" w:type="dxa"/>
            <w:tcBorders>
              <w:bottom w:val="single" w:sz="4" w:space="0" w:color="AEAAAA" w:themeColor="background2" w:themeShade="BF"/>
            </w:tcBorders>
            <w:shd w:val="clear" w:color="auto" w:fill="F2F2F2" w:themeFill="background1" w:themeFillShade="F2"/>
          </w:tcPr>
          <w:p w14:paraId="02A6D385" w14:textId="77777777" w:rsidR="00450A49" w:rsidRPr="002D7E9D" w:rsidRDefault="00450A49" w:rsidP="00D74BE2">
            <w:pPr>
              <w:pStyle w:val="NormalWeb"/>
              <w:rPr>
                <w:rFonts w:eastAsia="HGSMinchoE"/>
                <w:color w:val="000000" w:themeColor="text1"/>
              </w:rPr>
            </w:pPr>
            <w:r w:rsidRPr="002D7E9D">
              <w:rPr>
                <w:color w:val="000000" w:themeColor="text1"/>
              </w:rPr>
              <w:t xml:space="preserve">521.81 </w:t>
            </w:r>
          </w:p>
        </w:tc>
        <w:tc>
          <w:tcPr>
            <w:tcW w:w="1208" w:type="dxa"/>
            <w:tcBorders>
              <w:bottom w:val="single" w:sz="4" w:space="0" w:color="AEAAAA" w:themeColor="background2" w:themeShade="BF"/>
            </w:tcBorders>
            <w:shd w:val="clear" w:color="auto" w:fill="F2F2F2" w:themeFill="background1" w:themeFillShade="F2"/>
          </w:tcPr>
          <w:p w14:paraId="550D3F80" w14:textId="77777777" w:rsidR="00450A49" w:rsidRPr="002D7E9D" w:rsidRDefault="00450A49" w:rsidP="00D74BE2">
            <w:pPr>
              <w:pStyle w:val="NormalWeb"/>
              <w:rPr>
                <w:rFonts w:eastAsia="HGSMinchoE"/>
                <w:color w:val="000000" w:themeColor="text1"/>
              </w:rPr>
            </w:pPr>
            <w:r w:rsidRPr="002D7E9D">
              <w:rPr>
                <w:color w:val="000000" w:themeColor="text1"/>
              </w:rPr>
              <w:t>242.26</w:t>
            </w:r>
          </w:p>
        </w:tc>
      </w:tr>
      <w:tr w:rsidR="00450A49" w:rsidRPr="002D7E9D" w14:paraId="71E025A3" w14:textId="77777777" w:rsidTr="00D74BE2">
        <w:tc>
          <w:tcPr>
            <w:tcW w:w="1257" w:type="dxa"/>
            <w:vMerge/>
            <w:shd w:val="clear" w:color="auto" w:fill="F2F2F2" w:themeFill="background1" w:themeFillShade="F2"/>
          </w:tcPr>
          <w:p w14:paraId="485A5FD2"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E1ADEB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7DF141A" w14:textId="77777777" w:rsidR="00450A49" w:rsidRPr="002D7E9D" w:rsidRDefault="00450A49" w:rsidP="00D74BE2">
            <w:pPr>
              <w:pStyle w:val="NormalWeb"/>
              <w:rPr>
                <w:rFonts w:eastAsia="HGSMinchoE"/>
                <w:color w:val="000000" w:themeColor="text1"/>
              </w:rPr>
            </w:pPr>
            <w:r w:rsidRPr="002D7E9D">
              <w:rPr>
                <w:color w:val="000000" w:themeColor="text1"/>
              </w:rPr>
              <w:t xml:space="preserve">731.30    </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41332CA" w14:textId="77777777" w:rsidR="00450A49" w:rsidRPr="002D7E9D" w:rsidRDefault="00450A49" w:rsidP="00D74BE2">
            <w:pPr>
              <w:pStyle w:val="NormalWeb"/>
              <w:rPr>
                <w:rFonts w:eastAsia="HGSMinchoE"/>
                <w:color w:val="000000" w:themeColor="text1"/>
              </w:rPr>
            </w:pPr>
            <w:r w:rsidRPr="002D7E9D">
              <w:rPr>
                <w:color w:val="000000" w:themeColor="text1"/>
              </w:rPr>
              <w:t xml:space="preserve">1383.77       </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F904746" w14:textId="77777777" w:rsidR="00450A49" w:rsidRPr="002D7E9D" w:rsidRDefault="00450A49" w:rsidP="00D74BE2">
            <w:pPr>
              <w:pStyle w:val="NormalWeb"/>
              <w:rPr>
                <w:rFonts w:eastAsia="HGSMinchoE"/>
                <w:color w:val="000000" w:themeColor="text1"/>
              </w:rPr>
            </w:pPr>
            <w:r w:rsidRPr="002D7E9D">
              <w:rPr>
                <w:color w:val="000000" w:themeColor="text1"/>
              </w:rPr>
              <w:t>2461.10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D0B24BE" w14:textId="77777777" w:rsidR="00450A49" w:rsidRPr="002D7E9D" w:rsidRDefault="00450A49" w:rsidP="00D74BE2">
            <w:pPr>
              <w:pStyle w:val="NormalWeb"/>
              <w:rPr>
                <w:rFonts w:eastAsia="HGSMinchoE"/>
                <w:color w:val="000000" w:themeColor="text1"/>
              </w:rPr>
            </w:pPr>
            <w:r w:rsidRPr="002D7E9D">
              <w:rPr>
                <w:color w:val="000000" w:themeColor="text1"/>
              </w:rPr>
              <w:t>1244.70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3F8D5E79" w14:textId="77777777" w:rsidR="00450A49" w:rsidRPr="002D7E9D" w:rsidRDefault="00450A49" w:rsidP="00D74BE2">
            <w:pPr>
              <w:pStyle w:val="NormalWeb"/>
              <w:rPr>
                <w:rFonts w:eastAsia="HGSMinchoE"/>
                <w:color w:val="000000" w:themeColor="text1"/>
              </w:rPr>
            </w:pPr>
            <w:r w:rsidRPr="002D7E9D">
              <w:rPr>
                <w:color w:val="000000" w:themeColor="text1"/>
              </w:rPr>
              <w:t>517.66</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D6E0C71" w14:textId="77777777" w:rsidR="00450A49" w:rsidRPr="002D7E9D" w:rsidRDefault="00450A49" w:rsidP="00D74BE2">
            <w:pPr>
              <w:pStyle w:val="NormalWeb"/>
              <w:rPr>
                <w:rFonts w:eastAsia="HGSMinchoE"/>
                <w:color w:val="000000" w:themeColor="text1"/>
              </w:rPr>
            </w:pPr>
            <w:r w:rsidRPr="002D7E9D">
              <w:rPr>
                <w:color w:val="000000" w:themeColor="text1"/>
              </w:rPr>
              <w:t>243.79</w:t>
            </w:r>
          </w:p>
        </w:tc>
      </w:tr>
      <w:tr w:rsidR="00450A49" w:rsidRPr="002D7E9D" w14:paraId="40084B51" w14:textId="77777777" w:rsidTr="00D74BE2">
        <w:tc>
          <w:tcPr>
            <w:tcW w:w="1257" w:type="dxa"/>
            <w:vMerge/>
            <w:shd w:val="clear" w:color="auto" w:fill="F2F2F2" w:themeFill="background1" w:themeFillShade="F2"/>
          </w:tcPr>
          <w:p w14:paraId="3F10CF35"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02E9FACD"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Δ</w:t>
            </w:r>
            <w:r w:rsidRPr="002D7E9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65473614" w14:textId="77777777" w:rsidR="00450A49" w:rsidRPr="002D7E9D" w:rsidRDefault="00450A49" w:rsidP="00D74BE2">
            <w:pPr>
              <w:pStyle w:val="NormalWeb"/>
              <w:rPr>
                <w:rFonts w:eastAsia="HGSMinchoE"/>
                <w:color w:val="000000" w:themeColor="text1"/>
              </w:rPr>
            </w:pPr>
            <w:r w:rsidRPr="002D7E9D">
              <w:rPr>
                <w:color w:val="000000" w:themeColor="text1"/>
              </w:rPr>
              <w:t xml:space="preserve">6.45          </w:t>
            </w:r>
          </w:p>
        </w:tc>
        <w:tc>
          <w:tcPr>
            <w:tcW w:w="1233" w:type="dxa"/>
            <w:tcBorders>
              <w:top w:val="single" w:sz="4" w:space="0" w:color="AEAAAA" w:themeColor="background2" w:themeShade="BF"/>
            </w:tcBorders>
            <w:shd w:val="clear" w:color="auto" w:fill="F2F2F2" w:themeFill="background1" w:themeFillShade="F2"/>
          </w:tcPr>
          <w:p w14:paraId="77F29287" w14:textId="77777777" w:rsidR="00450A49" w:rsidRPr="002D7E9D" w:rsidRDefault="00450A49" w:rsidP="00D74BE2">
            <w:pPr>
              <w:pStyle w:val="NormalWeb"/>
              <w:rPr>
                <w:rFonts w:eastAsia="HGSMinchoE"/>
                <w:color w:val="000000" w:themeColor="text1"/>
              </w:rPr>
            </w:pPr>
            <w:r w:rsidRPr="002D7E9D">
              <w:rPr>
                <w:color w:val="000000" w:themeColor="text1"/>
              </w:rPr>
              <w:t xml:space="preserve">13.99        </w:t>
            </w:r>
          </w:p>
        </w:tc>
        <w:tc>
          <w:tcPr>
            <w:tcW w:w="1251" w:type="dxa"/>
            <w:tcBorders>
              <w:top w:val="single" w:sz="4" w:space="0" w:color="AEAAAA" w:themeColor="background2" w:themeShade="BF"/>
            </w:tcBorders>
            <w:shd w:val="clear" w:color="auto" w:fill="F2F2F2" w:themeFill="background1" w:themeFillShade="F2"/>
          </w:tcPr>
          <w:p w14:paraId="2FEC4027" w14:textId="77777777" w:rsidR="00450A49" w:rsidRPr="002D7E9D" w:rsidRDefault="00450A49" w:rsidP="00D74BE2">
            <w:pPr>
              <w:pStyle w:val="NormalWeb"/>
              <w:rPr>
                <w:rFonts w:eastAsia="HGSMinchoE"/>
                <w:color w:val="000000" w:themeColor="text1"/>
              </w:rPr>
            </w:pPr>
            <w:r w:rsidRPr="002D7E9D">
              <w:rPr>
                <w:color w:val="000000" w:themeColor="text1"/>
              </w:rPr>
              <w:t>-1.30</w:t>
            </w:r>
          </w:p>
        </w:tc>
        <w:tc>
          <w:tcPr>
            <w:tcW w:w="1037" w:type="dxa"/>
            <w:tcBorders>
              <w:top w:val="single" w:sz="4" w:space="0" w:color="AEAAAA" w:themeColor="background2" w:themeShade="BF"/>
            </w:tcBorders>
            <w:shd w:val="clear" w:color="auto" w:fill="F2F2F2" w:themeFill="background1" w:themeFillShade="F2"/>
          </w:tcPr>
          <w:p w14:paraId="1565DC6E" w14:textId="77777777" w:rsidR="00450A49" w:rsidRPr="002D7E9D" w:rsidRDefault="00450A49" w:rsidP="00D74BE2">
            <w:pPr>
              <w:pStyle w:val="NormalWeb"/>
              <w:rPr>
                <w:rFonts w:eastAsia="HGSMinchoE"/>
                <w:color w:val="000000" w:themeColor="text1"/>
              </w:rPr>
            </w:pPr>
            <w:r w:rsidRPr="002D7E9D">
              <w:rPr>
                <w:color w:val="000000" w:themeColor="text1"/>
              </w:rPr>
              <w:t xml:space="preserve">3.81   </w:t>
            </w:r>
          </w:p>
        </w:tc>
        <w:tc>
          <w:tcPr>
            <w:tcW w:w="1037" w:type="dxa"/>
            <w:tcBorders>
              <w:top w:val="single" w:sz="4" w:space="0" w:color="AEAAAA" w:themeColor="background2" w:themeShade="BF"/>
            </w:tcBorders>
            <w:shd w:val="clear" w:color="auto" w:fill="F2F2F2" w:themeFill="background1" w:themeFillShade="F2"/>
          </w:tcPr>
          <w:p w14:paraId="7FC62DA4" w14:textId="77777777" w:rsidR="00450A49" w:rsidRPr="002D7E9D" w:rsidRDefault="00450A49" w:rsidP="00D74BE2">
            <w:pPr>
              <w:pStyle w:val="NormalWeb"/>
              <w:rPr>
                <w:rFonts w:eastAsia="HGSMinchoE"/>
                <w:color w:val="000000" w:themeColor="text1"/>
              </w:rPr>
            </w:pPr>
            <w:r w:rsidRPr="002D7E9D">
              <w:rPr>
                <w:color w:val="000000" w:themeColor="text1"/>
              </w:rPr>
              <w:t xml:space="preserve">4.15   </w:t>
            </w:r>
          </w:p>
        </w:tc>
        <w:tc>
          <w:tcPr>
            <w:tcW w:w="1208" w:type="dxa"/>
            <w:tcBorders>
              <w:top w:val="single" w:sz="4" w:space="0" w:color="AEAAAA" w:themeColor="background2" w:themeShade="BF"/>
            </w:tcBorders>
            <w:shd w:val="clear" w:color="auto" w:fill="F2F2F2" w:themeFill="background1" w:themeFillShade="F2"/>
          </w:tcPr>
          <w:p w14:paraId="70D1E9EE" w14:textId="77777777" w:rsidR="00450A49" w:rsidRPr="002D7E9D" w:rsidRDefault="00450A49" w:rsidP="00D74BE2">
            <w:pPr>
              <w:pStyle w:val="NormalWeb"/>
              <w:rPr>
                <w:rFonts w:eastAsia="HGSMinchoE"/>
                <w:color w:val="000000" w:themeColor="text1"/>
              </w:rPr>
            </w:pPr>
            <w:r w:rsidRPr="002D7E9D">
              <w:rPr>
                <w:color w:val="000000" w:themeColor="text1"/>
              </w:rPr>
              <w:t>-1.53</w:t>
            </w:r>
          </w:p>
        </w:tc>
      </w:tr>
      <w:tr w:rsidR="00450A49" w:rsidRPr="002D7E9D" w14:paraId="63250D1C" w14:textId="77777777" w:rsidTr="00D74BE2">
        <w:tc>
          <w:tcPr>
            <w:tcW w:w="1257" w:type="dxa"/>
            <w:vMerge w:val="restart"/>
          </w:tcPr>
          <w:p w14:paraId="193E4602"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 xml:space="preserve">Recruit Size </w:t>
            </w:r>
          </w:p>
        </w:tc>
        <w:tc>
          <w:tcPr>
            <w:tcW w:w="1242" w:type="dxa"/>
            <w:tcBorders>
              <w:bottom w:val="single" w:sz="4" w:space="0" w:color="AEAAAA" w:themeColor="background2" w:themeShade="BF"/>
            </w:tcBorders>
          </w:tcPr>
          <w:p w14:paraId="05107D91"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tcPr>
          <w:p w14:paraId="64ADD80C" w14:textId="77777777" w:rsidR="00450A49" w:rsidRPr="002D7E9D" w:rsidRDefault="00450A49" w:rsidP="00D74BE2">
            <w:pPr>
              <w:pStyle w:val="NormalWeb"/>
              <w:rPr>
                <w:rFonts w:eastAsia="HGSMinchoE"/>
                <w:color w:val="000000" w:themeColor="text1"/>
              </w:rPr>
            </w:pPr>
            <w:r w:rsidRPr="002D7E9D">
              <w:rPr>
                <w:color w:val="000000" w:themeColor="text1"/>
              </w:rPr>
              <w:t>920.42</w:t>
            </w:r>
          </w:p>
        </w:tc>
        <w:tc>
          <w:tcPr>
            <w:tcW w:w="1233" w:type="dxa"/>
            <w:tcBorders>
              <w:bottom w:val="single" w:sz="4" w:space="0" w:color="AEAAAA" w:themeColor="background2" w:themeShade="BF"/>
            </w:tcBorders>
          </w:tcPr>
          <w:p w14:paraId="7C464349"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1015.31</w:t>
            </w:r>
          </w:p>
        </w:tc>
        <w:tc>
          <w:tcPr>
            <w:tcW w:w="1251" w:type="dxa"/>
            <w:tcBorders>
              <w:bottom w:val="single" w:sz="4" w:space="0" w:color="AEAAAA" w:themeColor="background2" w:themeShade="BF"/>
            </w:tcBorders>
          </w:tcPr>
          <w:p w14:paraId="2E903C2F" w14:textId="77777777" w:rsidR="00450A49" w:rsidRPr="002D7E9D" w:rsidRDefault="00450A49" w:rsidP="00D74BE2">
            <w:pPr>
              <w:pStyle w:val="NormalWeb"/>
              <w:rPr>
                <w:rFonts w:eastAsia="HGSMinchoE"/>
                <w:color w:val="000000" w:themeColor="text1"/>
              </w:rPr>
            </w:pPr>
            <w:r w:rsidRPr="002D7E9D">
              <w:rPr>
                <w:color w:val="000000" w:themeColor="text1"/>
              </w:rPr>
              <w:t>3365.29</w:t>
            </w:r>
          </w:p>
        </w:tc>
        <w:tc>
          <w:tcPr>
            <w:tcW w:w="1037" w:type="dxa"/>
            <w:tcBorders>
              <w:bottom w:val="single" w:sz="4" w:space="0" w:color="AEAAAA" w:themeColor="background2" w:themeShade="BF"/>
            </w:tcBorders>
          </w:tcPr>
          <w:p w14:paraId="6E61A9DE" w14:textId="77777777" w:rsidR="00450A49" w:rsidRPr="002D7E9D" w:rsidRDefault="00450A49" w:rsidP="00D74BE2">
            <w:pPr>
              <w:pStyle w:val="NormalWeb"/>
              <w:rPr>
                <w:rFonts w:eastAsia="HGSMinchoE"/>
                <w:color w:val="000000" w:themeColor="text1"/>
              </w:rPr>
            </w:pPr>
            <w:r w:rsidRPr="002D7E9D">
              <w:rPr>
                <w:color w:val="000000" w:themeColor="text1"/>
              </w:rPr>
              <w:t>4655.41</w:t>
            </w:r>
          </w:p>
        </w:tc>
        <w:tc>
          <w:tcPr>
            <w:tcW w:w="1037" w:type="dxa"/>
            <w:tcBorders>
              <w:bottom w:val="single" w:sz="4" w:space="0" w:color="AEAAAA" w:themeColor="background2" w:themeShade="BF"/>
            </w:tcBorders>
          </w:tcPr>
          <w:p w14:paraId="33BE9ED6" w14:textId="77777777" w:rsidR="00450A49" w:rsidRPr="002D7E9D" w:rsidRDefault="00450A49" w:rsidP="00D74BE2">
            <w:pPr>
              <w:pStyle w:val="NormalWeb"/>
              <w:rPr>
                <w:rFonts w:eastAsia="HGSMinchoE"/>
                <w:color w:val="000000" w:themeColor="text1"/>
              </w:rPr>
            </w:pPr>
            <w:r w:rsidRPr="002D7E9D">
              <w:rPr>
                <w:color w:val="000000" w:themeColor="text1"/>
              </w:rPr>
              <w:t>973.09</w:t>
            </w:r>
          </w:p>
        </w:tc>
        <w:tc>
          <w:tcPr>
            <w:tcW w:w="1208" w:type="dxa"/>
            <w:tcBorders>
              <w:bottom w:val="single" w:sz="4" w:space="0" w:color="AEAAAA" w:themeColor="background2" w:themeShade="BF"/>
            </w:tcBorders>
          </w:tcPr>
          <w:p w14:paraId="32E054E1" w14:textId="77777777" w:rsidR="00450A49" w:rsidRPr="002D7E9D" w:rsidRDefault="00450A49" w:rsidP="00D74BE2">
            <w:pPr>
              <w:pStyle w:val="NormalWeb"/>
              <w:rPr>
                <w:rFonts w:eastAsia="HGSMinchoE"/>
                <w:color w:val="000000" w:themeColor="text1"/>
              </w:rPr>
            </w:pPr>
            <w:r w:rsidRPr="002D7E9D">
              <w:rPr>
                <w:color w:val="000000" w:themeColor="text1"/>
              </w:rPr>
              <w:t>159.41</w:t>
            </w:r>
          </w:p>
        </w:tc>
      </w:tr>
      <w:tr w:rsidR="00450A49" w:rsidRPr="002D7E9D" w14:paraId="4CE4AA78" w14:textId="77777777" w:rsidTr="00D74BE2">
        <w:tc>
          <w:tcPr>
            <w:tcW w:w="1257" w:type="dxa"/>
            <w:vMerge/>
          </w:tcPr>
          <w:p w14:paraId="1F74CF0E"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5F38046E"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030EE095" w14:textId="77777777" w:rsidR="00450A49" w:rsidRPr="002D7E9D" w:rsidRDefault="00450A49" w:rsidP="00D74BE2">
            <w:pPr>
              <w:pStyle w:val="NormalWeb"/>
              <w:rPr>
                <w:rFonts w:eastAsia="HGSMinchoE"/>
                <w:color w:val="000000" w:themeColor="text1"/>
              </w:rPr>
            </w:pPr>
            <w:r w:rsidRPr="002D7E9D">
              <w:rPr>
                <w:color w:val="000000" w:themeColor="text1"/>
              </w:rPr>
              <w:t>922.25</w:t>
            </w:r>
          </w:p>
        </w:tc>
        <w:tc>
          <w:tcPr>
            <w:tcW w:w="1233" w:type="dxa"/>
            <w:tcBorders>
              <w:top w:val="single" w:sz="4" w:space="0" w:color="AEAAAA" w:themeColor="background2" w:themeShade="BF"/>
              <w:bottom w:val="single" w:sz="4" w:space="0" w:color="AEAAAA" w:themeColor="background2" w:themeShade="BF"/>
            </w:tcBorders>
          </w:tcPr>
          <w:p w14:paraId="6CCA67D4" w14:textId="77777777" w:rsidR="00450A49" w:rsidRPr="002D7E9D" w:rsidRDefault="00450A49" w:rsidP="00D74BE2">
            <w:pPr>
              <w:pStyle w:val="NormalWeb"/>
              <w:rPr>
                <w:rFonts w:eastAsia="HGSMinchoE"/>
                <w:color w:val="000000" w:themeColor="text1"/>
              </w:rPr>
            </w:pPr>
            <w:r w:rsidRPr="002D7E9D">
              <w:rPr>
                <w:color w:val="000000" w:themeColor="text1"/>
              </w:rPr>
              <w:t>1016.49</w:t>
            </w:r>
          </w:p>
        </w:tc>
        <w:tc>
          <w:tcPr>
            <w:tcW w:w="1251" w:type="dxa"/>
            <w:tcBorders>
              <w:top w:val="single" w:sz="4" w:space="0" w:color="AEAAAA" w:themeColor="background2" w:themeShade="BF"/>
              <w:bottom w:val="single" w:sz="4" w:space="0" w:color="AEAAAA" w:themeColor="background2" w:themeShade="BF"/>
            </w:tcBorders>
          </w:tcPr>
          <w:p w14:paraId="2BFE1699" w14:textId="77777777" w:rsidR="00450A49" w:rsidRPr="002D7E9D" w:rsidRDefault="00450A49" w:rsidP="00D74BE2">
            <w:pPr>
              <w:pStyle w:val="NormalWeb"/>
              <w:rPr>
                <w:rFonts w:eastAsia="HGSMinchoE"/>
                <w:color w:val="000000" w:themeColor="text1"/>
              </w:rPr>
            </w:pPr>
            <w:r w:rsidRPr="002D7E9D">
              <w:rPr>
                <w:color w:val="000000" w:themeColor="text1"/>
              </w:rPr>
              <w:t>3367.29</w:t>
            </w:r>
          </w:p>
        </w:tc>
        <w:tc>
          <w:tcPr>
            <w:tcW w:w="1037" w:type="dxa"/>
            <w:tcBorders>
              <w:top w:val="single" w:sz="4" w:space="0" w:color="AEAAAA" w:themeColor="background2" w:themeShade="BF"/>
              <w:bottom w:val="single" w:sz="4" w:space="0" w:color="AEAAAA" w:themeColor="background2" w:themeShade="BF"/>
            </w:tcBorders>
          </w:tcPr>
          <w:p w14:paraId="4DB5A93F" w14:textId="77777777" w:rsidR="00450A49" w:rsidRPr="002D7E9D" w:rsidRDefault="00450A49" w:rsidP="00D74BE2">
            <w:pPr>
              <w:pStyle w:val="NormalWeb"/>
              <w:rPr>
                <w:rFonts w:eastAsia="HGSMinchoE"/>
                <w:color w:val="000000" w:themeColor="text1"/>
              </w:rPr>
            </w:pPr>
            <w:r w:rsidRPr="002D7E9D">
              <w:rPr>
                <w:color w:val="000000" w:themeColor="text1"/>
              </w:rPr>
              <w:t>4657.33</w:t>
            </w:r>
          </w:p>
        </w:tc>
        <w:tc>
          <w:tcPr>
            <w:tcW w:w="1037" w:type="dxa"/>
            <w:tcBorders>
              <w:top w:val="single" w:sz="4" w:space="0" w:color="AEAAAA" w:themeColor="background2" w:themeShade="BF"/>
              <w:bottom w:val="single" w:sz="4" w:space="0" w:color="AEAAAA" w:themeColor="background2" w:themeShade="BF"/>
            </w:tcBorders>
          </w:tcPr>
          <w:p w14:paraId="4D2AC288" w14:textId="77777777" w:rsidR="00450A49" w:rsidRPr="002D7E9D" w:rsidRDefault="00450A49" w:rsidP="00D74BE2">
            <w:pPr>
              <w:pStyle w:val="NormalWeb"/>
              <w:rPr>
                <w:rFonts w:eastAsia="HGSMinchoE"/>
                <w:color w:val="000000" w:themeColor="text1"/>
              </w:rPr>
            </w:pPr>
            <w:r w:rsidRPr="002D7E9D">
              <w:rPr>
                <w:color w:val="000000" w:themeColor="text1"/>
              </w:rPr>
              <w:t>974.34</w:t>
            </w:r>
          </w:p>
        </w:tc>
        <w:tc>
          <w:tcPr>
            <w:tcW w:w="1208" w:type="dxa"/>
            <w:tcBorders>
              <w:top w:val="single" w:sz="4" w:space="0" w:color="AEAAAA" w:themeColor="background2" w:themeShade="BF"/>
              <w:bottom w:val="single" w:sz="4" w:space="0" w:color="AEAAAA" w:themeColor="background2" w:themeShade="BF"/>
            </w:tcBorders>
          </w:tcPr>
          <w:p w14:paraId="7C75C3C7" w14:textId="77777777" w:rsidR="00450A49" w:rsidRPr="002D7E9D" w:rsidRDefault="00450A49" w:rsidP="00D74BE2">
            <w:pPr>
              <w:pStyle w:val="NormalWeb"/>
              <w:rPr>
                <w:rFonts w:eastAsia="HGSMinchoE"/>
                <w:color w:val="000000" w:themeColor="text1"/>
              </w:rPr>
            </w:pPr>
            <w:r w:rsidRPr="002D7E9D">
              <w:rPr>
                <w:color w:val="000000" w:themeColor="text1"/>
              </w:rPr>
              <w:t>161.21</w:t>
            </w:r>
          </w:p>
        </w:tc>
      </w:tr>
      <w:tr w:rsidR="00450A49" w:rsidRPr="002D7E9D" w14:paraId="75706DAD" w14:textId="77777777" w:rsidTr="00D74BE2">
        <w:tc>
          <w:tcPr>
            <w:tcW w:w="1257" w:type="dxa"/>
            <w:vMerge/>
            <w:tcBorders>
              <w:top w:val="single" w:sz="4" w:space="0" w:color="767171" w:themeColor="background2" w:themeShade="80"/>
            </w:tcBorders>
          </w:tcPr>
          <w:p w14:paraId="7B6C9D20"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tcPr>
          <w:p w14:paraId="10D4C52C"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Δ</w:t>
            </w:r>
            <w:r w:rsidRPr="002D7E9D">
              <w:rPr>
                <w:rFonts w:eastAsia="HGSMinchoE"/>
                <w:color w:val="000000" w:themeColor="text1"/>
              </w:rPr>
              <w:t xml:space="preserve"> AIC</w:t>
            </w:r>
          </w:p>
        </w:tc>
        <w:tc>
          <w:tcPr>
            <w:tcW w:w="1085" w:type="dxa"/>
            <w:tcBorders>
              <w:top w:val="single" w:sz="4" w:space="0" w:color="AEAAAA" w:themeColor="background2" w:themeShade="BF"/>
            </w:tcBorders>
          </w:tcPr>
          <w:p w14:paraId="4D9CD5DE" w14:textId="77777777" w:rsidR="00450A49" w:rsidRPr="002D7E9D" w:rsidRDefault="00450A49" w:rsidP="00D74BE2">
            <w:pPr>
              <w:pStyle w:val="NormalWeb"/>
              <w:rPr>
                <w:rFonts w:eastAsia="HGSMinchoE"/>
                <w:color w:val="000000" w:themeColor="text1"/>
              </w:rPr>
            </w:pPr>
            <w:r w:rsidRPr="002D7E9D">
              <w:rPr>
                <w:color w:val="000000" w:themeColor="text1"/>
              </w:rPr>
              <w:t>-1.82</w:t>
            </w:r>
          </w:p>
        </w:tc>
        <w:tc>
          <w:tcPr>
            <w:tcW w:w="1233" w:type="dxa"/>
            <w:tcBorders>
              <w:top w:val="single" w:sz="4" w:space="0" w:color="AEAAAA" w:themeColor="background2" w:themeShade="BF"/>
            </w:tcBorders>
          </w:tcPr>
          <w:p w14:paraId="14C577EC" w14:textId="77777777" w:rsidR="00450A49" w:rsidRPr="002D7E9D" w:rsidRDefault="00450A49" w:rsidP="00D74BE2">
            <w:pPr>
              <w:pStyle w:val="NormalWeb"/>
              <w:rPr>
                <w:rFonts w:eastAsia="HGSMinchoE"/>
                <w:color w:val="000000" w:themeColor="text1"/>
              </w:rPr>
            </w:pPr>
            <w:r w:rsidRPr="002D7E9D">
              <w:rPr>
                <w:color w:val="000000" w:themeColor="text1"/>
              </w:rPr>
              <w:t>-1.18</w:t>
            </w:r>
          </w:p>
        </w:tc>
        <w:tc>
          <w:tcPr>
            <w:tcW w:w="1251" w:type="dxa"/>
            <w:tcBorders>
              <w:top w:val="single" w:sz="4" w:space="0" w:color="AEAAAA" w:themeColor="background2" w:themeShade="BF"/>
            </w:tcBorders>
          </w:tcPr>
          <w:p w14:paraId="76965D24" w14:textId="77777777" w:rsidR="00450A49" w:rsidRPr="002D7E9D" w:rsidRDefault="00450A49" w:rsidP="00D74BE2">
            <w:pPr>
              <w:pStyle w:val="NormalWeb"/>
              <w:rPr>
                <w:rFonts w:eastAsia="HGSMinchoE"/>
                <w:color w:val="000000" w:themeColor="text1"/>
              </w:rPr>
            </w:pPr>
            <w:r w:rsidRPr="002D7E9D">
              <w:rPr>
                <w:color w:val="000000" w:themeColor="text1"/>
              </w:rPr>
              <w:t>-1.99</w:t>
            </w:r>
          </w:p>
        </w:tc>
        <w:tc>
          <w:tcPr>
            <w:tcW w:w="1037" w:type="dxa"/>
            <w:tcBorders>
              <w:top w:val="single" w:sz="4" w:space="0" w:color="AEAAAA" w:themeColor="background2" w:themeShade="BF"/>
            </w:tcBorders>
          </w:tcPr>
          <w:p w14:paraId="01802811" w14:textId="77777777" w:rsidR="00450A49" w:rsidRPr="002D7E9D" w:rsidRDefault="00450A49" w:rsidP="00D74BE2">
            <w:pPr>
              <w:pStyle w:val="NormalWeb"/>
              <w:rPr>
                <w:rFonts w:eastAsia="HGSMinchoE"/>
                <w:color w:val="000000" w:themeColor="text1"/>
              </w:rPr>
            </w:pPr>
            <w:r w:rsidRPr="002D7E9D">
              <w:rPr>
                <w:color w:val="000000" w:themeColor="text1"/>
              </w:rPr>
              <w:t>-1.92</w:t>
            </w:r>
          </w:p>
        </w:tc>
        <w:tc>
          <w:tcPr>
            <w:tcW w:w="1037" w:type="dxa"/>
            <w:tcBorders>
              <w:top w:val="single" w:sz="4" w:space="0" w:color="AEAAAA" w:themeColor="background2" w:themeShade="BF"/>
            </w:tcBorders>
          </w:tcPr>
          <w:p w14:paraId="2C8DBC90" w14:textId="77777777" w:rsidR="00450A49" w:rsidRPr="002D7E9D" w:rsidRDefault="00450A49" w:rsidP="00D74BE2">
            <w:pPr>
              <w:pStyle w:val="NormalWeb"/>
              <w:rPr>
                <w:rFonts w:eastAsia="HGSMinchoE"/>
                <w:color w:val="000000" w:themeColor="text1"/>
              </w:rPr>
            </w:pPr>
            <w:r w:rsidRPr="002D7E9D">
              <w:rPr>
                <w:color w:val="000000" w:themeColor="text1"/>
              </w:rPr>
              <w:t>-1.25</w:t>
            </w:r>
          </w:p>
        </w:tc>
        <w:tc>
          <w:tcPr>
            <w:tcW w:w="1208" w:type="dxa"/>
            <w:tcBorders>
              <w:top w:val="single" w:sz="4" w:space="0" w:color="AEAAAA" w:themeColor="background2" w:themeShade="BF"/>
            </w:tcBorders>
          </w:tcPr>
          <w:p w14:paraId="5487B67B" w14:textId="77777777" w:rsidR="00450A49" w:rsidRPr="002D7E9D" w:rsidRDefault="00450A49" w:rsidP="00D74BE2">
            <w:pPr>
              <w:pStyle w:val="NormalWeb"/>
              <w:rPr>
                <w:rFonts w:eastAsia="HGSMinchoE"/>
                <w:color w:val="000000" w:themeColor="text1"/>
              </w:rPr>
            </w:pPr>
            <w:r w:rsidRPr="002D7E9D">
              <w:rPr>
                <w:color w:val="000000" w:themeColor="text1"/>
              </w:rPr>
              <w:t>-1.81</w:t>
            </w:r>
          </w:p>
        </w:tc>
      </w:tr>
    </w:tbl>
    <w:p w14:paraId="752C7809" w14:textId="77777777" w:rsidR="00450A49" w:rsidRPr="002D7E9D" w:rsidRDefault="00450A49" w:rsidP="00450A49">
      <w:pPr>
        <w:pStyle w:val="NormalWeb"/>
        <w:spacing w:line="360" w:lineRule="auto"/>
        <w:rPr>
          <w:rFonts w:eastAsia="HGSMinchoE"/>
          <w:color w:val="000000" w:themeColor="text1"/>
        </w:rPr>
      </w:pPr>
      <w:r w:rsidRPr="002D7E9D">
        <w:rPr>
          <w:rFonts w:eastAsia="HGSMinchoE"/>
          <w:noProof/>
          <w:color w:val="000000" w:themeColor="text1"/>
        </w:rPr>
        <w:drawing>
          <wp:inline distT="0" distB="0" distL="0" distR="0" wp14:anchorId="69CC2469" wp14:editId="579DCE79">
            <wp:extent cx="4951379" cy="3300919"/>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956940" cy="3304627"/>
                    </a:xfrm>
                    <a:prstGeom prst="rect">
                      <a:avLst/>
                    </a:prstGeom>
                  </pic:spPr>
                </pic:pic>
              </a:graphicData>
            </a:graphic>
          </wp:inline>
        </w:drawing>
      </w:r>
    </w:p>
    <w:p w14:paraId="4605EA94" w14:textId="77777777" w:rsidR="00450A49" w:rsidRPr="002D7E9D" w:rsidRDefault="00450A49" w:rsidP="00450A49">
      <w:pPr>
        <w:pStyle w:val="NormalWeb"/>
        <w:spacing w:line="360" w:lineRule="auto"/>
        <w:rPr>
          <w:rFonts w:eastAsia="HGSMinchoE"/>
          <w:color w:val="000000" w:themeColor="text1"/>
        </w:rPr>
      </w:pPr>
      <w:r w:rsidRPr="002D7E9D">
        <w:rPr>
          <w:rFonts w:eastAsia="HGSMinchoE"/>
          <w:color w:val="000000" w:themeColor="text1"/>
        </w:rPr>
        <w:t>Figure 5. (A) Within the same subpopulation, population growth rate (</w:t>
      </w:r>
      <w:r>
        <w:rPr>
          <w:rFonts w:eastAsia="HGSMinchoE"/>
          <w:color w:val="000000" w:themeColor="text1"/>
        </w:rPr>
        <w:t>ln(</w:t>
      </w:r>
      <w:r w:rsidRPr="002D7E9D">
        <w:rPr>
          <w:rFonts w:eastAsia="HGSMinchoE"/>
          <w:color w:val="000000" w:themeColor="text1"/>
        </w:rPr>
        <w:t xml:space="preserve">λ)) calculated from IPMs decreases as population size increases.  (B) Population growth rate calculated by change in </w:t>
      </w:r>
      <w:r w:rsidRPr="002D7E9D">
        <w:rPr>
          <w:rFonts w:eastAsia="HGSMinchoE"/>
          <w:color w:val="000000" w:themeColor="text1"/>
        </w:rPr>
        <w:lastRenderedPageBreak/>
        <w:t xml:space="preserve">population size from year </w:t>
      </w:r>
      <w:r w:rsidRPr="002D7E9D">
        <w:rPr>
          <w:rFonts w:eastAsia="HGSMinchoE"/>
          <w:i/>
          <w:iCs/>
          <w:color w:val="000000" w:themeColor="text1"/>
        </w:rPr>
        <w:t>t</w:t>
      </w:r>
      <w:r w:rsidRPr="002D7E9D">
        <w:rPr>
          <w:rFonts w:eastAsia="HGSMinchoE"/>
          <w:color w:val="000000" w:themeColor="text1"/>
        </w:rPr>
        <w:t xml:space="preserve"> to year </w:t>
      </w:r>
      <w:r w:rsidRPr="002D7E9D">
        <w:rPr>
          <w:rFonts w:eastAsia="HGSMinchoE"/>
          <w:i/>
          <w:iCs/>
          <w:color w:val="000000" w:themeColor="text1"/>
        </w:rPr>
        <w:t>t+1</w:t>
      </w:r>
      <w:r w:rsidRPr="002D7E9D">
        <w:rPr>
          <w:rFonts w:eastAsia="HGSMinchoE"/>
          <w:color w:val="000000" w:themeColor="text1"/>
        </w:rPr>
        <w:t xml:space="preserve"> also decreases as population size increases in the same subpopulation. In A and B, each point represents values calculated from data from one transition in one subpopulation. Lines show linear regressions of the relationships between </w:t>
      </w:r>
      <w:r>
        <w:rPr>
          <w:rFonts w:eastAsia="HGSMinchoE"/>
          <w:color w:val="000000" w:themeColor="text1"/>
        </w:rPr>
        <w:t>ln(</w:t>
      </w:r>
      <w:r w:rsidRPr="002D7E9D">
        <w:rPr>
          <w:rFonts w:eastAsia="HGSMinchoE"/>
          <w:color w:val="000000" w:themeColor="text1"/>
        </w:rPr>
        <w:t xml:space="preserve">N </w:t>
      </w:r>
      <w:r w:rsidRPr="002D7E9D">
        <w:rPr>
          <w:rFonts w:eastAsia="HGSMinchoE"/>
          <w:i/>
          <w:iCs/>
          <w:color w:val="000000" w:themeColor="text1"/>
        </w:rPr>
        <w:t>t</w:t>
      </w:r>
      <w:r w:rsidRPr="002D7E9D">
        <w:rPr>
          <w:rFonts w:eastAsia="HGSMinchoE"/>
          <w:color w:val="000000" w:themeColor="text1"/>
        </w:rPr>
        <w:t xml:space="preserve">) and the respective response variable in each subpopulation. Rug plots in panels C and D show the slope of each regression line in panels A and B, respectively. The normal distributions in C and D were created using the means and standard deviations of these slopes. According to these distributions of observed slopes, there is an 11% probability that the relationship between </w:t>
      </w:r>
      <w:r>
        <w:rPr>
          <w:rFonts w:eastAsia="HGSMinchoE"/>
          <w:color w:val="000000" w:themeColor="text1"/>
        </w:rPr>
        <w:t>ln(</w:t>
      </w:r>
      <w:r w:rsidRPr="002D7E9D">
        <w:rPr>
          <w:rFonts w:eastAsia="HGSMinchoE"/>
          <w:color w:val="000000" w:themeColor="text1"/>
        </w:rPr>
        <w:t xml:space="preserve">λ) and </w:t>
      </w:r>
      <w:r>
        <w:rPr>
          <w:rFonts w:eastAsia="HGSMinchoE"/>
          <w:color w:val="000000" w:themeColor="text1"/>
        </w:rPr>
        <w:t>ln(</w:t>
      </w:r>
      <w:r w:rsidRPr="002D7E9D">
        <w:rPr>
          <w:rFonts w:eastAsia="HGSMinchoE"/>
          <w:color w:val="000000" w:themeColor="text1"/>
        </w:rPr>
        <w:t xml:space="preserve">N </w:t>
      </w:r>
      <w:r w:rsidRPr="002D7E9D">
        <w:rPr>
          <w:rFonts w:eastAsia="HGSMinchoE"/>
          <w:i/>
          <w:iCs/>
          <w:color w:val="000000" w:themeColor="text1"/>
        </w:rPr>
        <w:t>t</w:t>
      </w:r>
      <w:r w:rsidRPr="002D7E9D">
        <w:rPr>
          <w:rFonts w:eastAsia="HGSMinchoE"/>
          <w:color w:val="000000" w:themeColor="text1"/>
        </w:rPr>
        <w:t xml:space="preserve">) would be positive, and a 1% probability that the relationship between </w:t>
      </w:r>
      <w:r>
        <w:rPr>
          <w:rFonts w:eastAsia="HGSMinchoE"/>
          <w:color w:val="000000" w:themeColor="text1"/>
        </w:rPr>
        <w:t>ln(</w:t>
      </w:r>
      <w:r w:rsidRPr="002D7E9D">
        <w:rPr>
          <w:rFonts w:eastAsia="HGSMinchoE"/>
          <w:color w:val="000000" w:themeColor="text1"/>
        </w:rPr>
        <w:t xml:space="preserve">N </w:t>
      </w:r>
      <w:r w:rsidRPr="002D7E9D">
        <w:rPr>
          <w:rFonts w:eastAsia="HGSMinchoE"/>
          <w:i/>
          <w:iCs/>
          <w:color w:val="000000" w:themeColor="text1"/>
        </w:rPr>
        <w:t>t</w:t>
      </w:r>
      <w:r w:rsidRPr="002D7E9D">
        <w:rPr>
          <w:rFonts w:eastAsia="HGSMinchoE"/>
          <w:color w:val="000000" w:themeColor="text1"/>
        </w:rPr>
        <w:t xml:space="preserve">) and </w:t>
      </w:r>
      <w:r>
        <w:rPr>
          <w:rFonts w:eastAsia="HGSMinchoE"/>
          <w:color w:val="000000" w:themeColor="text1"/>
        </w:rPr>
        <w:t>ln(</w:t>
      </w:r>
      <w:r w:rsidRPr="002D7E9D">
        <w:rPr>
          <w:rFonts w:eastAsia="HGSMinchoE"/>
          <w:color w:val="000000" w:themeColor="text1"/>
        </w:rPr>
        <w:t xml:space="preserve">N </w:t>
      </w:r>
      <w:r w:rsidRPr="002D7E9D">
        <w:rPr>
          <w:rFonts w:eastAsia="HGSMinchoE"/>
          <w:i/>
          <w:iCs/>
          <w:color w:val="000000" w:themeColor="text1"/>
        </w:rPr>
        <w:t>t+1</w:t>
      </w:r>
      <w:r w:rsidRPr="002D7E9D">
        <w:rPr>
          <w:rFonts w:eastAsia="HGSMinchoE"/>
          <w:color w:val="000000" w:themeColor="text1"/>
        </w:rPr>
        <w:t xml:space="preserve"> / N </w:t>
      </w:r>
      <w:r w:rsidRPr="002D7E9D">
        <w:rPr>
          <w:rFonts w:eastAsia="HGSMinchoE"/>
          <w:i/>
          <w:iCs/>
          <w:color w:val="000000" w:themeColor="text1"/>
        </w:rPr>
        <w:t>t</w:t>
      </w:r>
      <w:r w:rsidRPr="002D7E9D">
        <w:rPr>
          <w:rFonts w:eastAsia="HGSMinchoE"/>
          <w:color w:val="000000" w:themeColor="text1"/>
        </w:rPr>
        <w:t xml:space="preserve">) would be positive. In all panels, “N” indicates the number of individuals in a subpopulation. </w:t>
      </w:r>
    </w:p>
    <w:p w14:paraId="6C050C99" w14:textId="77777777" w:rsidR="00450A49" w:rsidRPr="002D7E9D" w:rsidRDefault="00450A49" w:rsidP="00450A49">
      <w:pPr>
        <w:pStyle w:val="NormalWeb"/>
        <w:spacing w:line="480" w:lineRule="auto"/>
        <w:outlineLvl w:val="3"/>
        <w:rPr>
          <w:rFonts w:eastAsia="HGSMinchoE"/>
          <w:i/>
          <w:iCs/>
          <w:color w:val="000000" w:themeColor="text1"/>
        </w:rPr>
      </w:pPr>
      <w:r w:rsidRPr="002D7E9D">
        <w:rPr>
          <w:rFonts w:eastAsia="HGSMinchoE"/>
          <w:i/>
          <w:iCs/>
          <w:color w:val="000000" w:themeColor="text1"/>
        </w:rPr>
        <w:t xml:space="preserve">Demographic Compensation: </w:t>
      </w:r>
    </w:p>
    <w:p w14:paraId="18C14BCF" w14:textId="77777777" w:rsidR="00450A49" w:rsidRPr="002D7E9D" w:rsidRDefault="00450A49" w:rsidP="00450A49">
      <w:pPr>
        <w:pStyle w:val="NormalWeb"/>
        <w:spacing w:line="480" w:lineRule="auto"/>
        <w:ind w:firstLine="720"/>
        <w:rPr>
          <w:rFonts w:eastAsia="HGSMinchoE"/>
          <w:i/>
          <w:iCs/>
          <w:color w:val="000000" w:themeColor="text1"/>
        </w:rPr>
      </w:pPr>
      <w:r w:rsidRPr="002D7E9D">
        <w:rPr>
          <w:rFonts w:eastAsia="HGSMinchoE"/>
          <w:color w:val="000000" w:themeColor="text1"/>
        </w:rPr>
        <w:t xml:space="preserve">Our analyses did not identify signatures of demographic compensation in </w:t>
      </w:r>
      <w:r w:rsidRPr="002D7E9D">
        <w:rPr>
          <w:rFonts w:eastAsia="HGSMinchoE"/>
          <w:i/>
          <w:iCs/>
          <w:color w:val="000000" w:themeColor="text1"/>
        </w:rPr>
        <w:t>O. coloradensis</w:t>
      </w:r>
      <w:r w:rsidRPr="002D7E9D">
        <w:rPr>
          <w:rFonts w:eastAsia="HGSMinchoE"/>
          <w:color w:val="000000" w:themeColor="text1"/>
        </w:rPr>
        <w:t xml:space="preserve"> populations. While there were negative correlations between the effect of mean growing season temperature on vital rates for five combinations of vital rates, none of these correlations were significant (Table 5). Ten thousand correlations of randomly assigned coefficients found that the number of negative correlations in a matrix can be described by a normal distribution with a mean of 5.01 and a standard deviation of 1.58. Using this distribution as a null model, there was a 49.8% probability of observing five negative correlations. Although there is no significant evidence for demographic compensation, it is notable that the effect of mean growing season temperature on distribution of recruit size was negatively correlated with the effect of growing season temperature on all other vital rates. We were only able to compare coefficients across vital rate models for mean growing season temperature, because including precipitation and mean winter temperature as covariates resulted in overfitting in some cases. </w:t>
      </w:r>
    </w:p>
    <w:p w14:paraId="4A861259" w14:textId="77777777" w:rsidR="00450A49" w:rsidRPr="002D7E9D" w:rsidRDefault="00450A49" w:rsidP="00450A49">
      <w:pPr>
        <w:pStyle w:val="NormalWeb"/>
        <w:spacing w:line="360" w:lineRule="auto"/>
        <w:rPr>
          <w:rFonts w:eastAsia="HGSMinchoE"/>
          <w:color w:val="000000" w:themeColor="text1"/>
        </w:rPr>
      </w:pPr>
      <w:r w:rsidRPr="002D7E9D">
        <w:rPr>
          <w:rFonts w:eastAsia="HGSMinchoE"/>
          <w:color w:val="000000" w:themeColor="text1"/>
        </w:rPr>
        <w:t xml:space="preserve">Table 5. Pearson correlations between mean growing season temperature coefficients in each continuous vital rate function. Below each correlation value is the </w:t>
      </w:r>
      <w:r w:rsidRPr="002D7E9D">
        <w:rPr>
          <w:rFonts w:eastAsia="HGSMinchoE"/>
          <w:i/>
          <w:iCs/>
          <w:color w:val="000000" w:themeColor="text1"/>
        </w:rPr>
        <w:t>P</w:t>
      </w:r>
      <w:r w:rsidRPr="002D7E9D">
        <w:rPr>
          <w:rFonts w:eastAsia="HGSMinchoE"/>
          <w:color w:val="000000" w:themeColor="text1"/>
        </w:rPr>
        <w:t xml:space="preserve"> value for that correlation. </w:t>
      </w:r>
    </w:p>
    <w:tbl>
      <w:tblPr>
        <w:tblStyle w:val="TableGrid"/>
        <w:tblW w:w="0" w:type="auto"/>
        <w:tblInd w:w="265" w:type="dxa"/>
        <w:tblLook w:val="04A0" w:firstRow="1" w:lastRow="0" w:firstColumn="1" w:lastColumn="0" w:noHBand="0" w:noVBand="1"/>
      </w:tblPr>
      <w:tblGrid>
        <w:gridCol w:w="498"/>
        <w:gridCol w:w="1300"/>
        <w:gridCol w:w="1210"/>
        <w:gridCol w:w="1030"/>
        <w:gridCol w:w="976"/>
        <w:gridCol w:w="926"/>
        <w:gridCol w:w="950"/>
      </w:tblGrid>
      <w:tr w:rsidR="00450A49" w:rsidRPr="002D7E9D" w14:paraId="4A00C22A" w14:textId="77777777" w:rsidTr="00D74BE2">
        <w:tc>
          <w:tcPr>
            <w:tcW w:w="1798" w:type="dxa"/>
            <w:gridSpan w:val="2"/>
            <w:vMerge w:val="restart"/>
            <w:tcBorders>
              <w:top w:val="single" w:sz="4" w:space="0" w:color="FFFFFF" w:themeColor="background1"/>
              <w:left w:val="single" w:sz="4" w:space="0" w:color="FFFFFF" w:themeColor="background1"/>
            </w:tcBorders>
          </w:tcPr>
          <w:p w14:paraId="147ACB7C" w14:textId="77777777" w:rsidR="00450A49" w:rsidRPr="002D7E9D" w:rsidRDefault="00450A49" w:rsidP="00D74BE2">
            <w:pPr>
              <w:pStyle w:val="NormalWeb"/>
              <w:rPr>
                <w:rFonts w:eastAsia="HGSMinchoE"/>
                <w:color w:val="000000" w:themeColor="text1"/>
              </w:rPr>
            </w:pPr>
          </w:p>
        </w:tc>
        <w:tc>
          <w:tcPr>
            <w:tcW w:w="5092" w:type="dxa"/>
            <w:gridSpan w:val="5"/>
          </w:tcPr>
          <w:p w14:paraId="45DCFDC8"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Vital Rate</w:t>
            </w:r>
          </w:p>
        </w:tc>
      </w:tr>
      <w:tr w:rsidR="00450A49" w:rsidRPr="002D7E9D" w14:paraId="54CEDDFB" w14:textId="77777777" w:rsidTr="00D74BE2">
        <w:tc>
          <w:tcPr>
            <w:tcW w:w="1798" w:type="dxa"/>
            <w:gridSpan w:val="2"/>
            <w:vMerge/>
            <w:tcBorders>
              <w:left w:val="single" w:sz="4" w:space="0" w:color="FFFFFF" w:themeColor="background1"/>
            </w:tcBorders>
          </w:tcPr>
          <w:p w14:paraId="1A259D4D" w14:textId="77777777" w:rsidR="00450A49" w:rsidRPr="002D7E9D" w:rsidRDefault="00450A49" w:rsidP="00D74BE2">
            <w:pPr>
              <w:pStyle w:val="NormalWeb"/>
              <w:rPr>
                <w:rFonts w:eastAsia="HGSMinchoE"/>
                <w:color w:val="000000" w:themeColor="text1"/>
              </w:rPr>
            </w:pPr>
          </w:p>
        </w:tc>
        <w:tc>
          <w:tcPr>
            <w:tcW w:w="1210" w:type="dxa"/>
          </w:tcPr>
          <w:p w14:paraId="301056DC"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Flowering</w:t>
            </w:r>
          </w:p>
        </w:tc>
        <w:tc>
          <w:tcPr>
            <w:tcW w:w="1030" w:type="dxa"/>
          </w:tcPr>
          <w:p w14:paraId="7DE0FF2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Survival</w:t>
            </w:r>
          </w:p>
        </w:tc>
        <w:tc>
          <w:tcPr>
            <w:tcW w:w="976" w:type="dxa"/>
          </w:tcPr>
          <w:p w14:paraId="3BA85A39"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Growth</w:t>
            </w:r>
          </w:p>
        </w:tc>
        <w:tc>
          <w:tcPr>
            <w:tcW w:w="926" w:type="dxa"/>
          </w:tcPr>
          <w:p w14:paraId="449A1041"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Seeds</w:t>
            </w:r>
          </w:p>
        </w:tc>
        <w:tc>
          <w:tcPr>
            <w:tcW w:w="950" w:type="dxa"/>
          </w:tcPr>
          <w:p w14:paraId="656E5565"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Recruit Size</w:t>
            </w:r>
          </w:p>
        </w:tc>
      </w:tr>
      <w:tr w:rsidR="00450A49" w:rsidRPr="002D7E9D" w14:paraId="5D8439BE" w14:textId="77777777" w:rsidTr="00D74BE2">
        <w:tc>
          <w:tcPr>
            <w:tcW w:w="498" w:type="dxa"/>
            <w:vMerge w:val="restart"/>
            <w:tcBorders>
              <w:top w:val="single" w:sz="4" w:space="0" w:color="000000" w:themeColor="text1"/>
            </w:tcBorders>
            <w:textDirection w:val="btLr"/>
          </w:tcPr>
          <w:p w14:paraId="1F26BB4E" w14:textId="77777777" w:rsidR="00450A49" w:rsidRPr="002D7E9D" w:rsidRDefault="00450A49" w:rsidP="00D74BE2">
            <w:pPr>
              <w:pStyle w:val="NormalWeb"/>
              <w:ind w:left="113" w:right="113"/>
              <w:rPr>
                <w:rFonts w:eastAsia="HGSMinchoE"/>
                <w:color w:val="000000" w:themeColor="text1"/>
              </w:rPr>
            </w:pPr>
            <w:r w:rsidRPr="002D7E9D">
              <w:rPr>
                <w:rFonts w:eastAsia="HGSMinchoE"/>
                <w:color w:val="000000" w:themeColor="text1"/>
              </w:rPr>
              <w:t>Vital Rate</w:t>
            </w:r>
          </w:p>
        </w:tc>
        <w:tc>
          <w:tcPr>
            <w:tcW w:w="1300" w:type="dxa"/>
            <w:tcBorders>
              <w:top w:val="single" w:sz="4" w:space="0" w:color="000000" w:themeColor="text1"/>
            </w:tcBorders>
          </w:tcPr>
          <w:p w14:paraId="2BEC600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Flowering</w:t>
            </w:r>
          </w:p>
        </w:tc>
        <w:tc>
          <w:tcPr>
            <w:tcW w:w="1210" w:type="dxa"/>
          </w:tcPr>
          <w:p w14:paraId="262BB07A"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c>
          <w:tcPr>
            <w:tcW w:w="1030" w:type="dxa"/>
          </w:tcPr>
          <w:p w14:paraId="751DEEF1"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0.415     (0.413)</w:t>
            </w:r>
          </w:p>
        </w:tc>
        <w:tc>
          <w:tcPr>
            <w:tcW w:w="976" w:type="dxa"/>
          </w:tcPr>
          <w:p w14:paraId="18647D5A"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0.163       (0.773)</w:t>
            </w:r>
          </w:p>
        </w:tc>
        <w:tc>
          <w:tcPr>
            <w:tcW w:w="926" w:type="dxa"/>
          </w:tcPr>
          <w:p w14:paraId="6229AB74"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-0.073     (0.891)</w:t>
            </w:r>
          </w:p>
        </w:tc>
        <w:tc>
          <w:tcPr>
            <w:tcW w:w="950" w:type="dxa"/>
          </w:tcPr>
          <w:p w14:paraId="73A35F19"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-0.381     (0.456)</w:t>
            </w:r>
          </w:p>
        </w:tc>
      </w:tr>
      <w:tr w:rsidR="00450A49" w:rsidRPr="002D7E9D" w14:paraId="3D49FFAD" w14:textId="77777777" w:rsidTr="00D74BE2">
        <w:tc>
          <w:tcPr>
            <w:tcW w:w="498" w:type="dxa"/>
            <w:vMerge/>
          </w:tcPr>
          <w:p w14:paraId="34A80B03" w14:textId="77777777" w:rsidR="00450A49" w:rsidRPr="002D7E9D" w:rsidRDefault="00450A49" w:rsidP="00D74BE2">
            <w:pPr>
              <w:pStyle w:val="NormalWeb"/>
              <w:jc w:val="center"/>
              <w:rPr>
                <w:rFonts w:eastAsia="HGSMinchoE"/>
                <w:color w:val="000000" w:themeColor="text1"/>
              </w:rPr>
            </w:pPr>
          </w:p>
        </w:tc>
        <w:tc>
          <w:tcPr>
            <w:tcW w:w="2510" w:type="dxa"/>
            <w:gridSpan w:val="2"/>
          </w:tcPr>
          <w:p w14:paraId="2DBB3587"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Survival</w:t>
            </w:r>
          </w:p>
        </w:tc>
        <w:tc>
          <w:tcPr>
            <w:tcW w:w="1030" w:type="dxa"/>
          </w:tcPr>
          <w:p w14:paraId="020141CE"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c>
          <w:tcPr>
            <w:tcW w:w="976" w:type="dxa"/>
          </w:tcPr>
          <w:p w14:paraId="05463370"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0.822 (0.045)</w:t>
            </w:r>
          </w:p>
        </w:tc>
        <w:tc>
          <w:tcPr>
            <w:tcW w:w="926" w:type="dxa"/>
          </w:tcPr>
          <w:p w14:paraId="712FFA9F"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0.708 (0.115)</w:t>
            </w:r>
          </w:p>
        </w:tc>
        <w:tc>
          <w:tcPr>
            <w:tcW w:w="950" w:type="dxa"/>
          </w:tcPr>
          <w:p w14:paraId="58AE99AA"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-0.300   (0.568)</w:t>
            </w:r>
          </w:p>
        </w:tc>
      </w:tr>
      <w:tr w:rsidR="00450A49" w:rsidRPr="002D7E9D" w14:paraId="0D7B3EC3" w14:textId="77777777" w:rsidTr="00D74BE2">
        <w:tc>
          <w:tcPr>
            <w:tcW w:w="498" w:type="dxa"/>
            <w:vMerge/>
          </w:tcPr>
          <w:p w14:paraId="5AE25F6C" w14:textId="77777777" w:rsidR="00450A49" w:rsidRPr="002D7E9D" w:rsidRDefault="00450A49" w:rsidP="00D74BE2">
            <w:pPr>
              <w:pStyle w:val="NormalWeb"/>
              <w:jc w:val="center"/>
              <w:rPr>
                <w:rFonts w:eastAsia="HGSMinchoE"/>
                <w:color w:val="000000" w:themeColor="text1"/>
              </w:rPr>
            </w:pPr>
          </w:p>
        </w:tc>
        <w:tc>
          <w:tcPr>
            <w:tcW w:w="3540" w:type="dxa"/>
            <w:gridSpan w:val="3"/>
          </w:tcPr>
          <w:p w14:paraId="39738854"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Growth</w:t>
            </w:r>
          </w:p>
        </w:tc>
        <w:tc>
          <w:tcPr>
            <w:tcW w:w="976" w:type="dxa"/>
          </w:tcPr>
          <w:p w14:paraId="2041CD0B"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c>
          <w:tcPr>
            <w:tcW w:w="926" w:type="dxa"/>
          </w:tcPr>
          <w:p w14:paraId="1763E043"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 xml:space="preserve"> 0.683 (0.135)</w:t>
            </w:r>
          </w:p>
        </w:tc>
        <w:tc>
          <w:tcPr>
            <w:tcW w:w="950" w:type="dxa"/>
          </w:tcPr>
          <w:p w14:paraId="6D9F25D5"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-0.091   (0.863)</w:t>
            </w:r>
          </w:p>
        </w:tc>
      </w:tr>
      <w:tr w:rsidR="00450A49" w:rsidRPr="002D7E9D" w14:paraId="2A78E98E" w14:textId="77777777" w:rsidTr="00D74BE2">
        <w:tc>
          <w:tcPr>
            <w:tcW w:w="498" w:type="dxa"/>
            <w:vMerge/>
          </w:tcPr>
          <w:p w14:paraId="4C238559" w14:textId="77777777" w:rsidR="00450A49" w:rsidRPr="002D7E9D" w:rsidRDefault="00450A49" w:rsidP="00D74BE2">
            <w:pPr>
              <w:pStyle w:val="NormalWeb"/>
              <w:jc w:val="center"/>
              <w:rPr>
                <w:rFonts w:eastAsia="HGSMinchoE"/>
                <w:color w:val="000000" w:themeColor="text1"/>
              </w:rPr>
            </w:pPr>
          </w:p>
        </w:tc>
        <w:tc>
          <w:tcPr>
            <w:tcW w:w="4516" w:type="dxa"/>
            <w:gridSpan w:val="4"/>
          </w:tcPr>
          <w:p w14:paraId="09BF7E41"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Seeds</w:t>
            </w:r>
          </w:p>
        </w:tc>
        <w:tc>
          <w:tcPr>
            <w:tcW w:w="926" w:type="dxa"/>
          </w:tcPr>
          <w:p w14:paraId="125B2BB4"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c>
          <w:tcPr>
            <w:tcW w:w="950" w:type="dxa"/>
          </w:tcPr>
          <w:p w14:paraId="4EA852AF"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-0.604   (0.204)</w:t>
            </w:r>
          </w:p>
        </w:tc>
      </w:tr>
      <w:tr w:rsidR="00450A49" w:rsidRPr="002D7E9D" w14:paraId="7221E1F5" w14:textId="77777777" w:rsidTr="00D74BE2">
        <w:tc>
          <w:tcPr>
            <w:tcW w:w="498" w:type="dxa"/>
            <w:vMerge/>
          </w:tcPr>
          <w:p w14:paraId="7BA4A83A" w14:textId="77777777" w:rsidR="00450A49" w:rsidRPr="002D7E9D" w:rsidRDefault="00450A49" w:rsidP="00D74BE2">
            <w:pPr>
              <w:pStyle w:val="NormalWeb"/>
              <w:jc w:val="center"/>
              <w:rPr>
                <w:rFonts w:eastAsia="HGSMinchoE"/>
                <w:color w:val="000000" w:themeColor="text1"/>
              </w:rPr>
            </w:pPr>
          </w:p>
        </w:tc>
        <w:tc>
          <w:tcPr>
            <w:tcW w:w="5442" w:type="dxa"/>
            <w:gridSpan w:val="5"/>
          </w:tcPr>
          <w:p w14:paraId="76D6A963"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Recruit Size</w:t>
            </w:r>
          </w:p>
        </w:tc>
        <w:tc>
          <w:tcPr>
            <w:tcW w:w="950" w:type="dxa"/>
          </w:tcPr>
          <w:p w14:paraId="242D1F98"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r>
    </w:tbl>
    <w:p w14:paraId="18E668BF" w14:textId="77777777" w:rsidR="00450A49" w:rsidRPr="002D7E9D" w:rsidRDefault="00450A49" w:rsidP="00450A49">
      <w:pPr>
        <w:pStyle w:val="NormalWeb"/>
        <w:spacing w:line="480" w:lineRule="auto"/>
        <w:outlineLvl w:val="3"/>
        <w:rPr>
          <w:rFonts w:eastAsia="HGSMinchoE"/>
          <w:i/>
          <w:iCs/>
          <w:color w:val="000000" w:themeColor="text1"/>
        </w:rPr>
      </w:pPr>
      <w:r w:rsidRPr="002D7E9D">
        <w:rPr>
          <w:rFonts w:eastAsia="HGSMinchoE"/>
          <w:i/>
          <w:iCs/>
          <w:color w:val="000000" w:themeColor="text1"/>
        </w:rPr>
        <w:t xml:space="preserve">Vital Rate Buffering: </w:t>
      </w:r>
    </w:p>
    <w:p w14:paraId="5A4D1ADC" w14:textId="77777777" w:rsidR="00450A49" w:rsidRPr="002D7E9D" w:rsidRDefault="00450A49" w:rsidP="00450A49">
      <w:pPr>
        <w:pStyle w:val="NormalWeb"/>
        <w:spacing w:line="480" w:lineRule="auto"/>
        <w:ind w:firstLine="720"/>
        <w:rPr>
          <w:rFonts w:eastAsia="HGSMinchoE"/>
          <w:i/>
          <w:iCs/>
          <w:color w:val="000000" w:themeColor="text1"/>
        </w:rPr>
      </w:pPr>
      <w:r w:rsidRPr="002D7E9D">
        <w:rPr>
          <w:rFonts w:eastAsia="HGSMinchoE"/>
          <w:color w:val="000000" w:themeColor="text1"/>
        </w:rPr>
        <w:t xml:space="preserve">We did not identify strong evidence of vital rate buffering in the </w:t>
      </w:r>
      <w:r w:rsidRPr="002D7E9D">
        <w:rPr>
          <w:rFonts w:eastAsia="HGSMinchoE"/>
          <w:i/>
          <w:iCs/>
          <w:color w:val="000000" w:themeColor="text1"/>
        </w:rPr>
        <w:t>O. coloradensis</w:t>
      </w:r>
      <w:r w:rsidRPr="002D7E9D">
        <w:rPr>
          <w:rFonts w:eastAsia="HGSMinchoE"/>
          <w:color w:val="000000" w:themeColor="text1"/>
        </w:rPr>
        <w:t xml:space="preserve"> populations we observed. The quartile coefficients of dispersion and elasticities of discrete vital rates and continuous vital rate parameters were not significantly negatively correlated (Fig. 6; correlation with all data: r = -0.32 , </w:t>
      </w:r>
      <w:r w:rsidRPr="002D7E9D">
        <w:rPr>
          <w:rFonts w:eastAsia="HGSMinchoE"/>
          <w:i/>
          <w:iCs/>
          <w:color w:val="000000" w:themeColor="text1"/>
        </w:rPr>
        <w:t xml:space="preserve">P </w:t>
      </w:r>
      <w:r w:rsidRPr="002D7E9D">
        <w:rPr>
          <w:rFonts w:eastAsia="HGSMinchoE"/>
          <w:color w:val="000000" w:themeColor="text1"/>
        </w:rPr>
        <w:t xml:space="preserve">= 0.25; correlation excluding the outlier: r = -0.38 , </w:t>
      </w:r>
      <w:r w:rsidRPr="002D7E9D">
        <w:rPr>
          <w:rFonts w:eastAsia="HGSMinchoE"/>
          <w:i/>
          <w:iCs/>
          <w:color w:val="000000" w:themeColor="text1"/>
        </w:rPr>
        <w:t>P</w:t>
      </w:r>
      <w:r w:rsidRPr="002D7E9D">
        <w:rPr>
          <w:rFonts w:eastAsia="HGSMinchoE"/>
          <w:color w:val="000000" w:themeColor="text1"/>
        </w:rPr>
        <w:t xml:space="preserve"> = 0.25). As a vital rate became more important for determining population growth rate, it also was not significantly less variable, which does not indicate that vital rate buffering is taking place (Figure 1). </w:t>
      </w:r>
    </w:p>
    <w:p w14:paraId="5B0C61F5" w14:textId="77777777" w:rsidR="00450A49" w:rsidRPr="002D7E9D" w:rsidRDefault="00450A49" w:rsidP="00450A49">
      <w:pPr>
        <w:pStyle w:val="NormalWeb"/>
        <w:spacing w:line="360" w:lineRule="auto"/>
        <w:jc w:val="both"/>
        <w:rPr>
          <w:rFonts w:eastAsia="HGSMinchoE"/>
          <w:color w:val="000000" w:themeColor="text1"/>
        </w:rPr>
      </w:pPr>
      <w:r w:rsidRPr="002D7E9D">
        <w:rPr>
          <w:rFonts w:eastAsia="HGSMinchoE"/>
          <w:noProof/>
          <w:color w:val="000000" w:themeColor="text1"/>
        </w:rPr>
        <w:lastRenderedPageBreak/>
        <w:drawing>
          <wp:inline distT="0" distB="0" distL="0" distR="0" wp14:anchorId="5C06DB3C" wp14:editId="0E15807D">
            <wp:extent cx="43434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343400" cy="2743200"/>
                    </a:xfrm>
                    <a:prstGeom prst="rect">
                      <a:avLst/>
                    </a:prstGeom>
                  </pic:spPr>
                </pic:pic>
              </a:graphicData>
            </a:graphic>
          </wp:inline>
        </w:drawing>
      </w:r>
    </w:p>
    <w:p w14:paraId="0516CD66" w14:textId="77777777" w:rsidR="00450A49" w:rsidRPr="002D7E9D" w:rsidRDefault="00450A49" w:rsidP="00450A49">
      <w:pPr>
        <w:pStyle w:val="NormalWeb"/>
        <w:spacing w:line="360" w:lineRule="auto"/>
        <w:jc w:val="both"/>
        <w:rPr>
          <w:rFonts w:eastAsia="HGSMinchoE"/>
          <w:color w:val="000000" w:themeColor="text1"/>
        </w:rPr>
      </w:pPr>
      <w:r w:rsidRPr="002D7E9D">
        <w:rPr>
          <w:rFonts w:eastAsia="HGSMinchoE"/>
          <w:color w:val="000000" w:themeColor="text1"/>
        </w:rPr>
        <w:t xml:space="preserve">Figure 6. The relationship between the quartile coefficient of dispersion (QCD) of each vital rate parameter and the absolute value of its elasticity. The dashed red line shows the correlation between vital rate elasticity and QCD that was calculated using all vital rates (r = -0.32 , </w:t>
      </w:r>
      <w:r w:rsidRPr="002D7E9D">
        <w:rPr>
          <w:rFonts w:eastAsia="HGSMinchoE"/>
          <w:i/>
          <w:iCs/>
          <w:color w:val="000000" w:themeColor="text1"/>
        </w:rPr>
        <w:t xml:space="preserve">P </w:t>
      </w:r>
      <w:r w:rsidRPr="002D7E9D">
        <w:rPr>
          <w:rFonts w:eastAsia="HGSMinchoE"/>
          <w:color w:val="000000" w:themeColor="text1"/>
        </w:rPr>
        <w:t xml:space="preserve">= 0.25), while the dashed blue line shows the correlation when the outlying vital rate was excluded (r = -0.38 , </w:t>
      </w:r>
      <w:r w:rsidRPr="002D7E9D">
        <w:rPr>
          <w:rFonts w:eastAsia="HGSMinchoE"/>
          <w:i/>
          <w:iCs/>
          <w:color w:val="000000" w:themeColor="text1"/>
        </w:rPr>
        <w:t>P</w:t>
      </w:r>
      <w:r w:rsidRPr="002D7E9D">
        <w:rPr>
          <w:rFonts w:eastAsia="HGSMinchoE"/>
          <w:color w:val="000000" w:themeColor="text1"/>
        </w:rPr>
        <w:t xml:space="preserve"> = 0.25). The insignificant negative correlation between QCD and elasticity indicates that vital rate buffering is not acting in the </w:t>
      </w:r>
      <w:r w:rsidRPr="002D7E9D">
        <w:rPr>
          <w:rFonts w:eastAsia="HGSMinchoE"/>
          <w:i/>
          <w:iCs/>
          <w:color w:val="000000" w:themeColor="text1"/>
        </w:rPr>
        <w:t>O. coloradensis</w:t>
      </w:r>
      <w:r w:rsidRPr="002D7E9D">
        <w:rPr>
          <w:rFonts w:eastAsia="HGSMinchoE"/>
          <w:color w:val="000000" w:themeColor="text1"/>
        </w:rPr>
        <w:t xml:space="preserve"> populations we studied.</w:t>
      </w:r>
    </w:p>
    <w:p w14:paraId="56D269EA" w14:textId="77777777" w:rsidR="00450A49" w:rsidRPr="002D7E9D" w:rsidRDefault="00450A49" w:rsidP="00450A49">
      <w:pPr>
        <w:pStyle w:val="NormalWeb"/>
        <w:spacing w:line="480" w:lineRule="auto"/>
        <w:outlineLvl w:val="3"/>
        <w:rPr>
          <w:rFonts w:eastAsia="HGSMinchoE"/>
          <w:i/>
          <w:iCs/>
          <w:color w:val="000000" w:themeColor="text1"/>
        </w:rPr>
      </w:pPr>
      <w:r w:rsidRPr="002D7E9D">
        <w:rPr>
          <w:rFonts w:eastAsia="HGSMinchoE"/>
          <w:i/>
          <w:iCs/>
          <w:color w:val="000000" w:themeColor="text1"/>
        </w:rPr>
        <w:t xml:space="preserve">Asynchronous Responses and Source-Sink Dynamics: </w:t>
      </w:r>
    </w:p>
    <w:p w14:paraId="6136281F" w14:textId="77777777" w:rsidR="00450A49" w:rsidRPr="002D7E9D" w:rsidRDefault="00450A49" w:rsidP="00450A49">
      <w:pPr>
        <w:pStyle w:val="NormalWeb"/>
        <w:spacing w:line="480" w:lineRule="auto"/>
        <w:ind w:firstLine="720"/>
        <w:rPr>
          <w:rFonts w:eastAsia="HGSMinchoE"/>
          <w:color w:val="000000" w:themeColor="text1"/>
        </w:rPr>
      </w:pPr>
      <w:r w:rsidRPr="002D7E9D">
        <w:rPr>
          <w:color w:val="000000" w:themeColor="text1"/>
        </w:rPr>
        <w:t xml:space="preserve">We did not identify a signature of asynchronous responses to environmental variation in </w:t>
      </w:r>
      <w:r w:rsidRPr="002D7E9D">
        <w:rPr>
          <w:i/>
          <w:iCs/>
          <w:color w:val="000000" w:themeColor="text1"/>
        </w:rPr>
        <w:t xml:space="preserve">O. coloradensis </w:t>
      </w:r>
      <w:r w:rsidRPr="002D7E9D">
        <w:rPr>
          <w:color w:val="000000" w:themeColor="text1"/>
        </w:rPr>
        <w:t xml:space="preserve">populations. There was not a significant relationship between the Spearman correlation of </w:t>
      </w:r>
      <w:r>
        <w:rPr>
          <w:rFonts w:eastAsia="HGSMinchoE"/>
          <w:color w:val="000000" w:themeColor="text1"/>
        </w:rPr>
        <w:t>ln(</w:t>
      </w:r>
      <w:r w:rsidRPr="002D7E9D">
        <w:rPr>
          <w:rFonts w:eastAsia="HGSMinchoE"/>
          <w:color w:val="000000" w:themeColor="text1"/>
        </w:rPr>
        <w:t xml:space="preserve">λ) between subpopulations and their spatial proximity (Mantel statistic = 0.08, </w:t>
      </w:r>
      <w:r w:rsidRPr="002D7E9D">
        <w:rPr>
          <w:rFonts w:eastAsia="HGSMinchoE"/>
          <w:i/>
          <w:iCs/>
          <w:color w:val="000000" w:themeColor="text1"/>
        </w:rPr>
        <w:t>P</w:t>
      </w:r>
      <w:r w:rsidRPr="002D7E9D">
        <w:rPr>
          <w:rFonts w:eastAsia="HGSMinchoE"/>
          <w:color w:val="000000" w:themeColor="text1"/>
        </w:rPr>
        <w:t xml:space="preserve"> = 0.37). We also performed Mantel tests using </w:t>
      </w:r>
      <w:r>
        <w:rPr>
          <w:rFonts w:eastAsia="HGSMinchoE"/>
          <w:color w:val="000000" w:themeColor="text1"/>
        </w:rPr>
        <w:t>ln(</w:t>
      </w:r>
      <w:r w:rsidRPr="002D7E9D">
        <w:rPr>
          <w:rFonts w:eastAsia="HGSMinchoE"/>
          <w:color w:val="000000" w:themeColor="text1"/>
        </w:rPr>
        <w:t xml:space="preserve">λ) correlation and distance matrices calculated uniquely for each population, and while the tests did not identify significant relationships, we did find a positive relationship between correlation of </w:t>
      </w:r>
      <w:r>
        <w:rPr>
          <w:rFonts w:eastAsia="HGSMinchoE"/>
          <w:color w:val="000000" w:themeColor="text1"/>
        </w:rPr>
        <w:t>ln(</w:t>
      </w:r>
      <w:r w:rsidRPr="002D7E9D">
        <w:rPr>
          <w:rFonts w:eastAsia="HGSMinchoE"/>
          <w:color w:val="000000" w:themeColor="text1"/>
        </w:rPr>
        <w:t xml:space="preserve">λ) and distance between subpopulations at Soapstone prairie, and a negative relationship between correlation of </w:t>
      </w:r>
      <w:r>
        <w:rPr>
          <w:rFonts w:eastAsia="HGSMinchoE"/>
          <w:color w:val="000000" w:themeColor="text1"/>
        </w:rPr>
        <w:t>ln(</w:t>
      </w:r>
      <w:r w:rsidRPr="002D7E9D">
        <w:rPr>
          <w:rFonts w:eastAsia="HGSMinchoE"/>
          <w:color w:val="000000" w:themeColor="text1"/>
        </w:rPr>
        <w:t xml:space="preserve">λ) and distance between </w:t>
      </w:r>
      <w:r w:rsidRPr="002D7E9D">
        <w:rPr>
          <w:rFonts w:eastAsia="HGSMinchoE"/>
          <w:color w:val="000000" w:themeColor="text1"/>
        </w:rPr>
        <w:lastRenderedPageBreak/>
        <w:t xml:space="preserve">subpopulations at FEWAFB. These insignificant Mantel tests also indicate that fine-scale source-sink dynamics were not important for these </w:t>
      </w:r>
      <w:r w:rsidRPr="002D7E9D">
        <w:rPr>
          <w:rFonts w:eastAsia="HGSMinchoE"/>
          <w:i/>
          <w:iCs/>
          <w:color w:val="000000" w:themeColor="text1"/>
        </w:rPr>
        <w:t>O. coloradensis</w:t>
      </w:r>
      <w:r w:rsidRPr="002D7E9D">
        <w:rPr>
          <w:rFonts w:eastAsia="HGSMinchoE"/>
          <w:color w:val="000000" w:themeColor="text1"/>
        </w:rPr>
        <w:t xml:space="preserve"> populations.</w:t>
      </w:r>
    </w:p>
    <w:p w14:paraId="75AE1F99" w14:textId="77777777" w:rsidR="00450A49" w:rsidRPr="001626B1" w:rsidRDefault="00450A49" w:rsidP="00450A49">
      <w:pPr>
        <w:pStyle w:val="NormalWeb"/>
        <w:spacing w:line="480" w:lineRule="auto"/>
        <w:outlineLvl w:val="2"/>
        <w:rPr>
          <w:rFonts w:eastAsia="HGSMinchoE"/>
          <w:i/>
          <w:iCs/>
          <w:color w:val="000000" w:themeColor="text1"/>
        </w:rPr>
      </w:pPr>
      <w:bookmarkStart w:id="41" w:name="_Toc101229641"/>
      <w:bookmarkStart w:id="42" w:name="_Toc101544576"/>
      <w:r w:rsidRPr="001626B1">
        <w:rPr>
          <w:rFonts w:eastAsia="HGSMinchoE"/>
          <w:i/>
          <w:iCs/>
          <w:color w:val="000000" w:themeColor="text1"/>
        </w:rPr>
        <w:t>Objective 3: Population viability analysis:</w:t>
      </w:r>
      <w:bookmarkEnd w:id="41"/>
      <w:bookmarkEnd w:id="42"/>
    </w:p>
    <w:p w14:paraId="33FF37D4" w14:textId="77777777" w:rsidR="00450A49" w:rsidRPr="001626B1" w:rsidRDefault="00450A49" w:rsidP="00450A49">
      <w:pPr>
        <w:pStyle w:val="NormalWeb"/>
        <w:spacing w:line="480" w:lineRule="auto"/>
        <w:ind w:firstLine="720"/>
        <w:rPr>
          <w:rFonts w:eastAsia="HGSMinchoE"/>
          <w:color w:val="000000" w:themeColor="text1"/>
        </w:rPr>
      </w:pPr>
      <w:r w:rsidRPr="001626B1">
        <w:rPr>
          <w:rFonts w:eastAsia="HGSMinchoE"/>
          <w:color w:val="000000" w:themeColor="text1"/>
        </w:rPr>
        <w:t xml:space="preserve"> Simulations that incorporate demographic and environmental stochasticity and density dependence indicate that, if the demographic patterns observed during our monitoring study persist, both the Soapstone prairie and FEWAFB populations of </w:t>
      </w:r>
      <w:r w:rsidRPr="001626B1">
        <w:rPr>
          <w:rFonts w:eastAsia="HGSMinchoE"/>
          <w:i/>
          <w:iCs/>
          <w:color w:val="000000" w:themeColor="text1"/>
        </w:rPr>
        <w:t xml:space="preserve">O. coloradensis </w:t>
      </w:r>
      <w:r w:rsidRPr="001626B1">
        <w:rPr>
          <w:rFonts w:eastAsia="HGSMinchoE"/>
          <w:color w:val="000000" w:themeColor="text1"/>
        </w:rPr>
        <w:t xml:space="preserve">will hover around their current population size for the next decade (Fig. 7A). Over a span of 50 years, however, the simulations suggest that the Soapstone population will grow considerably to reach an equilibrium size that is an order of magnitude larger than it is currently, and the FEWAFB population will grow exponentially and then decline steadily through the end of the simulation period. By the end of the simulations, the population growth rate of the Soapstone population stabilizes slightly above zero, while the growth rate of the FEWAFB population stabilizes slightly below zero (Fig. 7B). Even though the FEWAFB population is in decline at the end of the simulation period, the mean stochastic </w:t>
      </w:r>
      <w:r>
        <w:rPr>
          <w:rFonts w:eastAsia="HGSMinchoE"/>
          <w:color w:val="000000" w:themeColor="text1"/>
        </w:rPr>
        <w:t>ln(</w:t>
      </w:r>
      <w:r w:rsidRPr="001626B1">
        <w:rPr>
          <w:rFonts w:eastAsia="HGSMinchoE"/>
          <w:color w:val="000000" w:themeColor="text1"/>
        </w:rPr>
        <w:t xml:space="preserve">λ) (or </w:t>
      </w:r>
      <w:r>
        <w:rPr>
          <w:rFonts w:eastAsia="HGSMinchoE"/>
          <w:color w:val="000000" w:themeColor="text1"/>
        </w:rPr>
        <w:t>ln(</w:t>
      </w:r>
      <w:proofErr w:type="spellStart"/>
      <w:r w:rsidRPr="001626B1">
        <w:rPr>
          <w:rFonts w:eastAsia="HGSMinchoE"/>
          <w:color w:val="000000" w:themeColor="text1"/>
        </w:rPr>
        <w:t>λ</w:t>
      </w:r>
      <w:r w:rsidRPr="001626B1">
        <w:rPr>
          <w:rFonts w:eastAsia="HGSMinchoE"/>
          <w:color w:val="000000" w:themeColor="text1"/>
          <w:vertAlign w:val="subscript"/>
        </w:rPr>
        <w:t>s</w:t>
      </w:r>
      <w:proofErr w:type="spellEnd"/>
      <w:r w:rsidRPr="001626B1">
        <w:rPr>
          <w:rFonts w:eastAsia="HGSMinchoE"/>
          <w:color w:val="000000" w:themeColor="text1"/>
        </w:rPr>
        <w:t xml:space="preserve">), which is the mean of the </w:t>
      </w:r>
      <w:r>
        <w:rPr>
          <w:rFonts w:eastAsia="HGSMinchoE"/>
          <w:color w:val="000000" w:themeColor="text1"/>
        </w:rPr>
        <w:t>ln(</w:t>
      </w:r>
      <w:r w:rsidRPr="001626B1">
        <w:rPr>
          <w:rFonts w:eastAsia="HGSMinchoE"/>
          <w:color w:val="000000" w:themeColor="text1"/>
        </w:rPr>
        <w:t>λ) values of the 15</w:t>
      </w:r>
      <w:r w:rsidRPr="001626B1">
        <w:rPr>
          <w:rFonts w:eastAsia="HGSMinchoE"/>
          <w:color w:val="000000" w:themeColor="text1"/>
          <w:vertAlign w:val="superscript"/>
        </w:rPr>
        <w:t>th</w:t>
      </w:r>
      <w:r w:rsidRPr="001626B1">
        <w:rPr>
          <w:rFonts w:eastAsia="HGSMinchoE"/>
          <w:color w:val="000000" w:themeColor="text1"/>
        </w:rPr>
        <w:t xml:space="preserve"> through 100</w:t>
      </w:r>
      <w:r w:rsidRPr="001626B1">
        <w:rPr>
          <w:rFonts w:eastAsia="HGSMinchoE"/>
          <w:color w:val="000000" w:themeColor="text1"/>
          <w:vertAlign w:val="superscript"/>
        </w:rPr>
        <w:t>th</w:t>
      </w:r>
      <w:r w:rsidRPr="001626B1">
        <w:rPr>
          <w:rFonts w:eastAsia="HGSMinchoE"/>
          <w:color w:val="000000" w:themeColor="text1"/>
        </w:rPr>
        <w:t xml:space="preserve"> simulated transitions, is positive. This is driven by the very high </w:t>
      </w:r>
      <w:r>
        <w:rPr>
          <w:rFonts w:eastAsia="HGSMinchoE"/>
          <w:color w:val="000000" w:themeColor="text1"/>
        </w:rPr>
        <w:t>ln(</w:t>
      </w:r>
      <w:r w:rsidRPr="001626B1">
        <w:rPr>
          <w:rFonts w:eastAsia="HGSMinchoE"/>
          <w:color w:val="000000" w:themeColor="text1"/>
        </w:rPr>
        <w:t xml:space="preserve">λ) values in the first 30 years of the simulations (Fig. 7C). The mean </w:t>
      </w:r>
      <w:r>
        <w:rPr>
          <w:rFonts w:eastAsia="HGSMinchoE"/>
          <w:color w:val="000000" w:themeColor="text1"/>
        </w:rPr>
        <w:t>ln(</w:t>
      </w:r>
      <w:proofErr w:type="spellStart"/>
      <w:r w:rsidRPr="001626B1">
        <w:rPr>
          <w:rFonts w:eastAsia="HGSMinchoE"/>
          <w:color w:val="000000" w:themeColor="text1"/>
        </w:rPr>
        <w:t>λ</w:t>
      </w:r>
      <w:r w:rsidRPr="001626B1">
        <w:rPr>
          <w:rFonts w:eastAsia="HGSMinchoE"/>
          <w:color w:val="000000" w:themeColor="text1"/>
          <w:vertAlign w:val="subscript"/>
        </w:rPr>
        <w:t>s</w:t>
      </w:r>
      <w:proofErr w:type="spellEnd"/>
      <w:r w:rsidRPr="001626B1">
        <w:rPr>
          <w:rFonts w:eastAsia="HGSMinchoE"/>
          <w:color w:val="000000" w:themeColor="text1"/>
        </w:rPr>
        <w:t xml:space="preserve">) for the Soapstone population is lower than the FEWAFB </w:t>
      </w:r>
      <w:r>
        <w:rPr>
          <w:rFonts w:eastAsia="HGSMinchoE"/>
          <w:color w:val="000000" w:themeColor="text1"/>
        </w:rPr>
        <w:t>ln(</w:t>
      </w:r>
      <w:proofErr w:type="spellStart"/>
      <w:r w:rsidRPr="001626B1">
        <w:rPr>
          <w:rFonts w:eastAsia="HGSMinchoE"/>
          <w:color w:val="000000" w:themeColor="text1"/>
        </w:rPr>
        <w:t>λ</w:t>
      </w:r>
      <w:r w:rsidRPr="001626B1">
        <w:rPr>
          <w:rFonts w:eastAsia="HGSMinchoE"/>
          <w:color w:val="000000" w:themeColor="text1"/>
          <w:vertAlign w:val="subscript"/>
        </w:rPr>
        <w:t>s</w:t>
      </w:r>
      <w:proofErr w:type="spellEnd"/>
      <w:r w:rsidRPr="001626B1">
        <w:rPr>
          <w:rFonts w:eastAsia="HGSMinchoE"/>
          <w:color w:val="000000" w:themeColor="text1"/>
        </w:rPr>
        <w:t>), but is still positive.</w:t>
      </w:r>
    </w:p>
    <w:p w14:paraId="610D949C" w14:textId="77777777" w:rsidR="00450A49" w:rsidRPr="001626B1" w:rsidRDefault="00450A49" w:rsidP="00450A49">
      <w:pPr>
        <w:pStyle w:val="NormalWeb"/>
        <w:spacing w:line="480" w:lineRule="auto"/>
        <w:ind w:firstLine="720"/>
        <w:rPr>
          <w:rFonts w:eastAsia="HGSMinchoE"/>
          <w:color w:val="000000" w:themeColor="text1"/>
        </w:rPr>
      </w:pPr>
      <w:r w:rsidRPr="001626B1">
        <w:rPr>
          <w:rFonts w:eastAsia="HGSMinchoE"/>
          <w:color w:val="000000" w:themeColor="text1"/>
        </w:rPr>
        <w:t xml:space="preserve">The climate scenario used for the simulation did not substantially affect the outcome for the FEWAFB populations. Mean population size, mean </w:t>
      </w:r>
      <w:r>
        <w:rPr>
          <w:rFonts w:eastAsia="HGSMinchoE"/>
          <w:color w:val="000000" w:themeColor="text1"/>
        </w:rPr>
        <w:t>ln(</w:t>
      </w:r>
      <w:r w:rsidRPr="001626B1">
        <w:rPr>
          <w:rFonts w:eastAsia="HGSMinchoE"/>
          <w:color w:val="000000" w:themeColor="text1"/>
        </w:rPr>
        <w:t xml:space="preserve">λ) and </w:t>
      </w:r>
      <w:r>
        <w:rPr>
          <w:rFonts w:eastAsia="HGSMinchoE"/>
          <w:color w:val="000000" w:themeColor="text1"/>
        </w:rPr>
        <w:t>ln(</w:t>
      </w:r>
      <w:proofErr w:type="spellStart"/>
      <w:r w:rsidRPr="001626B1">
        <w:rPr>
          <w:rFonts w:eastAsia="HGSMinchoE"/>
          <w:color w:val="000000" w:themeColor="text1"/>
        </w:rPr>
        <w:t>λ</w:t>
      </w:r>
      <w:r w:rsidRPr="001626B1">
        <w:rPr>
          <w:rFonts w:eastAsia="HGSMinchoE"/>
          <w:color w:val="000000" w:themeColor="text1"/>
          <w:vertAlign w:val="subscript"/>
        </w:rPr>
        <w:t>s</w:t>
      </w:r>
      <w:proofErr w:type="spellEnd"/>
      <w:r w:rsidRPr="001626B1">
        <w:rPr>
          <w:rFonts w:eastAsia="HGSMinchoE"/>
          <w:color w:val="000000" w:themeColor="text1"/>
        </w:rPr>
        <w:t xml:space="preserve">) of the FEWAFB population are very similar both in simulations using a scenario based on current observed climate and a scenario with higher mean temperature and lower precipitation. However, climate scenario did affect the outcome of simulations of the Soapstone prairie population. In the hotter </w:t>
      </w:r>
      <w:r w:rsidRPr="001626B1">
        <w:rPr>
          <w:rFonts w:eastAsia="HGSMinchoE"/>
          <w:color w:val="000000" w:themeColor="text1"/>
        </w:rPr>
        <w:lastRenderedPageBreak/>
        <w:t xml:space="preserve">and drier scenario, population size grew faster initially, but stabilized at a smaller size than in the current climate scenario (Fig. 7B). Mean </w:t>
      </w:r>
      <w:r>
        <w:rPr>
          <w:rFonts w:eastAsia="HGSMinchoE"/>
          <w:color w:val="000000" w:themeColor="text1"/>
        </w:rPr>
        <w:t>ln(</w:t>
      </w:r>
      <w:proofErr w:type="spellStart"/>
      <w:r w:rsidRPr="001626B1">
        <w:rPr>
          <w:rFonts w:eastAsia="HGSMinchoE"/>
          <w:color w:val="000000" w:themeColor="text1"/>
        </w:rPr>
        <w:t>λ</w:t>
      </w:r>
      <w:r w:rsidRPr="001626B1">
        <w:rPr>
          <w:rFonts w:eastAsia="HGSMinchoE"/>
          <w:color w:val="000000" w:themeColor="text1"/>
          <w:vertAlign w:val="subscript"/>
        </w:rPr>
        <w:t>s</w:t>
      </w:r>
      <w:proofErr w:type="spellEnd"/>
      <w:r w:rsidRPr="001626B1">
        <w:rPr>
          <w:rFonts w:eastAsia="HGSMinchoE"/>
          <w:color w:val="000000" w:themeColor="text1"/>
        </w:rPr>
        <w:t xml:space="preserve">) was also lower in the hotter and drier climate scenario (Fig. 7C). </w:t>
      </w:r>
    </w:p>
    <w:p w14:paraId="610B0148" w14:textId="77777777" w:rsidR="00450A49" w:rsidRPr="001626B1" w:rsidRDefault="00450A49" w:rsidP="00450A49">
      <w:pPr>
        <w:pStyle w:val="NormalWeb"/>
        <w:rPr>
          <w:rFonts w:eastAsia="HGSMinchoE"/>
          <w:color w:val="000000" w:themeColor="text1"/>
        </w:rPr>
      </w:pPr>
      <w:r w:rsidRPr="001626B1">
        <w:rPr>
          <w:rFonts w:eastAsia="HGSMinchoE"/>
          <w:noProof/>
          <w:color w:val="000000" w:themeColor="text1"/>
        </w:rPr>
        <mc:AlternateContent>
          <mc:Choice Requires="wps">
            <w:drawing>
              <wp:anchor distT="0" distB="0" distL="114300" distR="114300" simplePos="0" relativeHeight="251660288" behindDoc="0" locked="0" layoutInCell="1" allowOverlap="1" wp14:anchorId="69EF0044" wp14:editId="10EA2E23">
                <wp:simplePos x="0" y="0"/>
                <wp:positionH relativeFrom="column">
                  <wp:posOffset>0</wp:posOffset>
                </wp:positionH>
                <wp:positionV relativeFrom="paragraph">
                  <wp:posOffset>808990</wp:posOffset>
                </wp:positionV>
                <wp:extent cx="334645" cy="516890"/>
                <wp:effectExtent l="0" t="0" r="0" b="3810"/>
                <wp:wrapNone/>
                <wp:docPr id="64" name="Text Box 64"/>
                <wp:cNvGraphicFramePr/>
                <a:graphic xmlns:a="http://schemas.openxmlformats.org/drawingml/2006/main">
                  <a:graphicData uri="http://schemas.microsoft.com/office/word/2010/wordprocessingShape">
                    <wps:wsp>
                      <wps:cNvSpPr txBox="1"/>
                      <wps:spPr>
                        <a:xfrm>
                          <a:off x="0" y="0"/>
                          <a:ext cx="334645" cy="516890"/>
                        </a:xfrm>
                        <a:prstGeom prst="rect">
                          <a:avLst/>
                        </a:prstGeom>
                        <a:solidFill>
                          <a:schemeClr val="lt1"/>
                        </a:solidFill>
                        <a:ln w="6350">
                          <a:noFill/>
                        </a:ln>
                      </wps:spPr>
                      <wps:txbx>
                        <w:txbxContent>
                          <w:p w14:paraId="08AEB7D6" w14:textId="77777777" w:rsidR="00450A49" w:rsidRPr="00ED2863" w:rsidRDefault="00450A49" w:rsidP="00450A49">
                            <w:pPr>
                              <w:rPr>
                                <w:rFonts w:ascii="Arial" w:hAnsi="Arial" w:cs="Arial"/>
                                <w:sz w:val="20"/>
                                <w:szCs w:val="20"/>
                              </w:rPr>
                            </w:pPr>
                            <w:r w:rsidRPr="00ED2863">
                              <w:rPr>
                                <w:rFonts w:ascii="Arial" w:hAnsi="Arial" w:cs="Arial"/>
                                <w:sz w:val="20"/>
                                <w:szCs w:val="20"/>
                              </w:rPr>
                              <w:t>l</w:t>
                            </w:r>
                            <w:r>
                              <w:rPr>
                                <w:rFonts w:ascii="Arial" w:hAnsi="Arial" w:cs="Arial"/>
                                <w:sz w:val="20"/>
                                <w:szCs w:val="20"/>
                              </w:rPr>
                              <w:t>n</w:t>
                            </w:r>
                            <w:r w:rsidRPr="00ED2863">
                              <w:rPr>
                                <w:rFonts w:ascii="Arial" w:hAnsi="Arial" w:cs="Arial"/>
                                <w:sz w:val="20"/>
                                <w:szCs w:val="20"/>
                              </w:rPr>
                              <w:t>(</w:t>
                            </w:r>
                            <w:r w:rsidRPr="00ED2863">
                              <w:rPr>
                                <w:rFonts w:ascii="Arial" w:eastAsia="HGSMinchoE" w:hAnsi="Arial" w:cs="Arial"/>
                                <w:color w:val="000000" w:themeColor="text1"/>
                                <w:sz w:val="20"/>
                                <w:szCs w:val="20"/>
                              </w:rPr>
                              <w:t>λ)</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F0044" id="_x0000_t202" coordsize="21600,21600" o:spt="202" path="m,l,21600r21600,l21600,xe">
                <v:stroke joinstyle="miter"/>
                <v:path gradientshapeok="t" o:connecttype="rect"/>
              </v:shapetype>
              <v:shape id="Text Box 64" o:spid="_x0000_s1026" type="#_x0000_t202" style="position:absolute;margin-left:0;margin-top:63.7pt;width:26.35pt;height:4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tOKLAIAAFYEAAAOAAAAZHJzL2Uyb0RvYy54bWysVEtv2zAMvg/YfxB0b5x3WyNOkaXIMCBo&#13;&#10;C6RDz4osxQZkUZOU2NmvHyU7j3Y7Db3QpPj+SHr20FSKHIR1JeiMDnp9SoTmkJd6l9Gfr6ubO0qc&#13;&#10;ZzpnCrTI6FE4+jD/+mVWm1QMoQCVC0swiHZpbTJaeG/SJHG8EBVzPTBCo1KCrZhH0e6S3LIao1cq&#13;&#10;Gfb706QGmxsLXDiHr4+tks5jfCkF989SOuGJyijW5iO1kW4DTeYzlu4sM0XJuzLYf1RRsVJj0nOo&#13;&#10;R+YZ2dvyr1BVyS04kL7HoUpAypKL2AN2M+h/6GZTMCNiLwiOM2eY3OeF5U+HjXmxxDffoMEBBkBq&#13;&#10;41KHj6GfRtoqfLFSgnqE8HiGTTSecHwcjcbT8YQSjqrJYHp3H2FNLs7GOv9dQEUCk1GLU4lgscPa&#13;&#10;eUyIpieTkMuBKvNVqVQUwiaIpbLkwHCGyscS0eOdldKkzuh0NOnHwBqCextZaUxwaSlwvtk2XZ9b&#13;&#10;yI/YvoV2M5zhqxKLXDPnX5jFVcCOcb39MxKpAJNAx1FSgP39r/dgn9FAh7foXuN2ZdT92jMrKFE/&#13;&#10;NI7vfjAeh3WMwnhyO0TBXmu21xq9r5aAzQ/wlgyPbLD36sRKC9UbHsIiJEYV0xyLy6g/sUvf7jwe&#13;&#10;EheLRTTCBTTMr/XG8BA6gB2m8Nq8MWu6UXmc8ROc9pClHybW2gZPDYu9B1nGcQaMW2A76HF545S7&#13;&#10;QwvXcS1Hq8vvYP4HAAD//wMAUEsDBBQABgAIAAAAIQBUE9rP4gAAAAwBAAAPAAAAZHJzL2Rvd25y&#13;&#10;ZXYueG1sTI9PS8QwEMXvgt8hjOBF3MTSdUu36eIfhPUiWBe8ZpvZtthMSpNu67d3POllYObx3rxf&#13;&#10;sVtcL844hs6ThruVAoFUe9tRo+Hw8XKbgQjRkDW9J9TwjQF25eVFYXLrZ3rHcxUbwSEUcqOhjXHI&#13;&#10;pQx1i86ElR+QWDv50ZnI69hIO5qZw10vE6XupTMd8YfWDPjUYv1VTU7DPh7618+1epvk/Jgu1cmH&#13;&#10;m32q9fXV8rzl8bAFEXGJfw74ZeD+UHKxo5/IBtFrYJrI12STgmB5nWxAHDUkKstAloX8D1H+AAAA&#13;&#10;//8DAFBLAQItABQABgAIAAAAIQC2gziS/gAAAOEBAAATAAAAAAAAAAAAAAAAAAAAAABbQ29udGVu&#13;&#10;dF9UeXBlc10ueG1sUEsBAi0AFAAGAAgAAAAhADj9If/WAAAAlAEAAAsAAAAAAAAAAAAAAAAALwEA&#13;&#10;AF9yZWxzLy5yZWxzUEsBAi0AFAAGAAgAAAAhACuO04osAgAAVgQAAA4AAAAAAAAAAAAAAAAALgIA&#13;&#10;AGRycy9lMm9Eb2MueG1sUEsBAi0AFAAGAAgAAAAhAFQT2s/iAAAADAEAAA8AAAAAAAAAAAAAAAAA&#13;&#10;hgQAAGRycy9kb3ducmV2LnhtbFBLBQYAAAAABAAEAPMAAACVBQAAAAA=&#13;&#10;" fillcolor="white [3201]" stroked="f" strokeweight=".5pt">
                <v:textbox style="layout-flow:vertical;mso-layout-flow-alt:bottom-to-top">
                  <w:txbxContent>
                    <w:p w14:paraId="08AEB7D6" w14:textId="77777777" w:rsidR="00450A49" w:rsidRPr="00ED2863" w:rsidRDefault="00450A49" w:rsidP="00450A49">
                      <w:pPr>
                        <w:rPr>
                          <w:rFonts w:ascii="Arial" w:hAnsi="Arial" w:cs="Arial"/>
                          <w:sz w:val="20"/>
                          <w:szCs w:val="20"/>
                        </w:rPr>
                      </w:pPr>
                      <w:r w:rsidRPr="00ED2863">
                        <w:rPr>
                          <w:rFonts w:ascii="Arial" w:hAnsi="Arial" w:cs="Arial"/>
                          <w:sz w:val="20"/>
                          <w:szCs w:val="20"/>
                        </w:rPr>
                        <w:t>l</w:t>
                      </w:r>
                      <w:r>
                        <w:rPr>
                          <w:rFonts w:ascii="Arial" w:hAnsi="Arial" w:cs="Arial"/>
                          <w:sz w:val="20"/>
                          <w:szCs w:val="20"/>
                        </w:rPr>
                        <w:t>n</w:t>
                      </w:r>
                      <w:r w:rsidRPr="00ED2863">
                        <w:rPr>
                          <w:rFonts w:ascii="Arial" w:hAnsi="Arial" w:cs="Arial"/>
                          <w:sz w:val="20"/>
                          <w:szCs w:val="20"/>
                        </w:rPr>
                        <w:t>(</w:t>
                      </w:r>
                      <w:r w:rsidRPr="00ED2863">
                        <w:rPr>
                          <w:rFonts w:ascii="Arial" w:eastAsia="HGSMinchoE" w:hAnsi="Arial" w:cs="Arial"/>
                          <w:color w:val="000000" w:themeColor="text1"/>
                          <w:sz w:val="20"/>
                          <w:szCs w:val="20"/>
                        </w:rPr>
                        <w:t>λ)</w:t>
                      </w:r>
                    </w:p>
                  </w:txbxContent>
                </v:textbox>
              </v:shape>
            </w:pict>
          </mc:Fallback>
        </mc:AlternateContent>
      </w:r>
      <w:r w:rsidRPr="001626B1">
        <w:rPr>
          <w:rFonts w:eastAsia="HGSMinchoE"/>
          <w:noProof/>
          <w:color w:val="000000" w:themeColor="text1"/>
        </w:rPr>
        <mc:AlternateContent>
          <mc:Choice Requires="wps">
            <w:drawing>
              <wp:anchor distT="0" distB="0" distL="114300" distR="114300" simplePos="0" relativeHeight="251659264" behindDoc="0" locked="0" layoutInCell="1" allowOverlap="1" wp14:anchorId="02F8AABE" wp14:editId="18BAED14">
                <wp:simplePos x="0" y="0"/>
                <wp:positionH relativeFrom="column">
                  <wp:posOffset>3928745</wp:posOffset>
                </wp:positionH>
                <wp:positionV relativeFrom="paragraph">
                  <wp:posOffset>918210</wp:posOffset>
                </wp:positionV>
                <wp:extent cx="334645" cy="194567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34645" cy="1945672"/>
                        </a:xfrm>
                        <a:prstGeom prst="rect">
                          <a:avLst/>
                        </a:prstGeom>
                        <a:solidFill>
                          <a:schemeClr val="lt1"/>
                        </a:solidFill>
                        <a:ln w="6350">
                          <a:noFill/>
                        </a:ln>
                      </wps:spPr>
                      <wps:txbx>
                        <w:txbxContent>
                          <w:p w14:paraId="31CF43BE" w14:textId="77777777" w:rsidR="00450A49" w:rsidRPr="00ED2863" w:rsidRDefault="00450A49" w:rsidP="00450A49">
                            <w:pPr>
                              <w:rPr>
                                <w:rFonts w:ascii="Arial" w:hAnsi="Arial" w:cs="Arial"/>
                                <w:sz w:val="20"/>
                                <w:szCs w:val="20"/>
                              </w:rPr>
                            </w:pPr>
                            <w:r w:rsidRPr="00ED2863">
                              <w:rPr>
                                <w:rFonts w:ascii="Arial" w:hAnsi="Arial" w:cs="Arial"/>
                                <w:sz w:val="20"/>
                                <w:szCs w:val="20"/>
                              </w:rPr>
                              <w:t>Frequency of observed l</w:t>
                            </w:r>
                            <w:r>
                              <w:rPr>
                                <w:rFonts w:ascii="Arial" w:hAnsi="Arial" w:cs="Arial"/>
                                <w:sz w:val="20"/>
                                <w:szCs w:val="20"/>
                              </w:rPr>
                              <w:t>n</w:t>
                            </w:r>
                            <w:r w:rsidRPr="00ED2863">
                              <w:rPr>
                                <w:rFonts w:ascii="Arial" w:hAnsi="Arial" w:cs="Arial"/>
                                <w:sz w:val="20"/>
                                <w:szCs w:val="20"/>
                              </w:rPr>
                              <w:t>(</w:t>
                            </w:r>
                            <w:proofErr w:type="spellStart"/>
                            <w:r w:rsidRPr="00ED2863">
                              <w:rPr>
                                <w:rFonts w:ascii="Arial" w:eastAsia="HGSMinchoE" w:hAnsi="Arial" w:cs="Arial"/>
                                <w:color w:val="000000" w:themeColor="text1"/>
                                <w:sz w:val="20"/>
                                <w:szCs w:val="20"/>
                              </w:rPr>
                              <w:t>λ</w:t>
                            </w:r>
                            <w:r w:rsidRPr="00ED2863">
                              <w:rPr>
                                <w:rFonts w:ascii="Arial" w:eastAsia="HGSMinchoE" w:hAnsi="Arial" w:cs="Arial"/>
                                <w:color w:val="000000" w:themeColor="text1"/>
                                <w:sz w:val="20"/>
                                <w:szCs w:val="20"/>
                                <w:vertAlign w:val="subscript"/>
                              </w:rPr>
                              <w:t>s</w:t>
                            </w:r>
                            <w:proofErr w:type="spellEnd"/>
                            <w:r w:rsidRPr="00ED2863">
                              <w:rPr>
                                <w:rFonts w:ascii="Arial" w:eastAsia="HGSMinchoE" w:hAnsi="Arial" w:cs="Arial"/>
                                <w:color w:val="000000" w:themeColor="text1"/>
                                <w:sz w:val="20"/>
                                <w:szCs w:val="20"/>
                              </w:rPr>
                              <w: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8AABE" id="Text Box 20" o:spid="_x0000_s1027" type="#_x0000_t202" style="position:absolute;margin-left:309.35pt;margin-top:72.3pt;width:26.35pt;height:15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yCYMAIAAF4EAAAOAAAAZHJzL2Uyb0RvYy54bWysVE2P2yAQvVfqf0DcG+d7u1acVZpVqkrR&#13;&#10;7krZas8EQ4yEGQokdvrrO+B8ddtT1ct4YIbHzJuHZw9trclBOK/AFHTQ61MiDIdSmV1Bv7+uPn2m&#13;&#10;xAdmSqbBiIIehacP848fZo3NxRAq0KVwBEGMzxtb0CoEm2eZ55Wome+BFQaDElzNAi7dLisdaxC9&#13;&#10;1tmw359mDbjSOuDCe9x97IJ0nvClFDw8S+lFILqgWFtI1iW7jTabz1i+c8xWip/KYP9QRc2UwUsv&#13;&#10;UI8sMLJ36g+oWnEHHmTocagzkFJxkXrAbgb9d91sKmZF6gXJ8fZCk/9/sPzpsLEvjoT2C7Q4wEhI&#13;&#10;Y33ucTP200pXxy9WSjCOFB4vtIk2EI6bo9F4Op5QwjE0uB9PpnfDCJNdT1vnw1cBNYlOQR2OJbHF&#13;&#10;DmsfutRzSrzMg1blSmmdFlEKYqkdOTAcog6pRgT/LUsb0hR0Opr0E7CBeLxD1gZrufYUvdBuW6LK&#13;&#10;m363UB6RBgedQrzlK4W1rpkPL8yhJLBzlHl4RiM14F1w8iipwP38237ML2i0wzs83qDKCup/7JkT&#13;&#10;lOhvBsd4PxiPoyzTYjy5G+LC3Ua2txGzr5eAHAzwTVme3Jgf9NmVDuo3fBCLeDGGmOFYXEHD2V2G&#13;&#10;Tvv4oLhYLFISCtGysDYbyyN05DwO47V9Y86eJhZw1k9w1iPL3w2uy40nDSz2AaRKU41Ud8SeJoAi&#13;&#10;Tro4Pbj4Sm7XKev6W5j/AgAA//8DAFBLAwQUAAYACAAAACEAFwydTeQAAAAQAQAADwAAAGRycy9k&#13;&#10;b3ducmV2LnhtbExPy2rDMBC8F/oPYgO9lEZyUZzgWA59UEgvgbqBXhVLsU2slbHk2P37bk/tZWCZ&#13;&#10;2Xnku9l17GqH0HpUkCwFMIuVNy3WCo6fbw8bYCFqNLrzaBV82wC74vYm15nxE37YaxlrRiYYMq2g&#13;&#10;ibHPOA9VY50OS99bJO7sB6cjnUPNzaAnMncdfxQi5U63SAmN7u1LY6tLOToF+3js3r9W4jDy6VnO&#13;&#10;5dmH+71U6m4xv24JnrbAop3j3wf8bqD+UFCxkx/RBNYpSJPNmqRESJkCI0W6TiSwkwK5SgTwIuf/&#13;&#10;hxQ/AAAA//8DAFBLAQItABQABgAIAAAAIQC2gziS/gAAAOEBAAATAAAAAAAAAAAAAAAAAAAAAABb&#13;&#10;Q29udGVudF9UeXBlc10ueG1sUEsBAi0AFAAGAAgAAAAhADj9If/WAAAAlAEAAAsAAAAAAAAAAAAA&#13;&#10;AAAALwEAAF9yZWxzLy5yZWxzUEsBAi0AFAAGAAgAAAAhAEmrIJgwAgAAXgQAAA4AAAAAAAAAAAAA&#13;&#10;AAAALgIAAGRycy9lMm9Eb2MueG1sUEsBAi0AFAAGAAgAAAAhABcMnU3kAAAAEAEAAA8AAAAAAAAA&#13;&#10;AAAAAAAAigQAAGRycy9kb3ducmV2LnhtbFBLBQYAAAAABAAEAPMAAACbBQAAAAA=&#13;&#10;" fillcolor="white [3201]" stroked="f" strokeweight=".5pt">
                <v:textbox style="layout-flow:vertical;mso-layout-flow-alt:bottom-to-top">
                  <w:txbxContent>
                    <w:p w14:paraId="31CF43BE" w14:textId="77777777" w:rsidR="00450A49" w:rsidRPr="00ED2863" w:rsidRDefault="00450A49" w:rsidP="00450A49">
                      <w:pPr>
                        <w:rPr>
                          <w:rFonts w:ascii="Arial" w:hAnsi="Arial" w:cs="Arial"/>
                          <w:sz w:val="20"/>
                          <w:szCs w:val="20"/>
                        </w:rPr>
                      </w:pPr>
                      <w:r w:rsidRPr="00ED2863">
                        <w:rPr>
                          <w:rFonts w:ascii="Arial" w:hAnsi="Arial" w:cs="Arial"/>
                          <w:sz w:val="20"/>
                          <w:szCs w:val="20"/>
                        </w:rPr>
                        <w:t>Frequency of observed l</w:t>
                      </w:r>
                      <w:r>
                        <w:rPr>
                          <w:rFonts w:ascii="Arial" w:hAnsi="Arial" w:cs="Arial"/>
                          <w:sz w:val="20"/>
                          <w:szCs w:val="20"/>
                        </w:rPr>
                        <w:t>n</w:t>
                      </w:r>
                      <w:r w:rsidRPr="00ED2863">
                        <w:rPr>
                          <w:rFonts w:ascii="Arial" w:hAnsi="Arial" w:cs="Arial"/>
                          <w:sz w:val="20"/>
                          <w:szCs w:val="20"/>
                        </w:rPr>
                        <w:t>(</w:t>
                      </w:r>
                      <w:proofErr w:type="spellStart"/>
                      <w:r w:rsidRPr="00ED2863">
                        <w:rPr>
                          <w:rFonts w:ascii="Arial" w:eastAsia="HGSMinchoE" w:hAnsi="Arial" w:cs="Arial"/>
                          <w:color w:val="000000" w:themeColor="text1"/>
                          <w:sz w:val="20"/>
                          <w:szCs w:val="20"/>
                        </w:rPr>
                        <w:t>λ</w:t>
                      </w:r>
                      <w:r w:rsidRPr="00ED2863">
                        <w:rPr>
                          <w:rFonts w:ascii="Arial" w:eastAsia="HGSMinchoE" w:hAnsi="Arial" w:cs="Arial"/>
                          <w:color w:val="000000" w:themeColor="text1"/>
                          <w:sz w:val="20"/>
                          <w:szCs w:val="20"/>
                          <w:vertAlign w:val="subscript"/>
                        </w:rPr>
                        <w:t>s</w:t>
                      </w:r>
                      <w:proofErr w:type="spellEnd"/>
                      <w:r w:rsidRPr="00ED2863">
                        <w:rPr>
                          <w:rFonts w:ascii="Arial" w:eastAsia="HGSMinchoE" w:hAnsi="Arial" w:cs="Arial"/>
                          <w:color w:val="000000" w:themeColor="text1"/>
                          <w:sz w:val="20"/>
                          <w:szCs w:val="20"/>
                        </w:rPr>
                        <w:t>)</w:t>
                      </w:r>
                    </w:p>
                  </w:txbxContent>
                </v:textbox>
              </v:shape>
            </w:pict>
          </mc:Fallback>
        </mc:AlternateContent>
      </w:r>
      <w:r w:rsidRPr="001626B1">
        <w:rPr>
          <w:rFonts w:eastAsia="HGSMinchoE"/>
          <w:noProof/>
          <w:color w:val="000000" w:themeColor="text1"/>
        </w:rPr>
        <w:drawing>
          <wp:inline distT="0" distB="0" distL="0" distR="0" wp14:anchorId="5625D8A1" wp14:editId="04F48A75">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7E3D1479" w14:textId="03F37127" w:rsidR="00450A49" w:rsidRPr="001626B1" w:rsidRDefault="00560EC5" w:rsidP="00450A49">
      <w:pPr>
        <w:pStyle w:val="NormalWeb"/>
        <w:spacing w:line="360" w:lineRule="auto"/>
        <w:rPr>
          <w:rFonts w:eastAsia="HGSMinchoE"/>
          <w:color w:val="000000" w:themeColor="text1"/>
        </w:rPr>
      </w:pPr>
      <w:commentRangeStart w:id="43"/>
      <w:commentRangeStart w:id="44"/>
      <w:r>
        <w:rPr>
          <w:rFonts w:eastAsia="HGSMinchoE"/>
          <w:b/>
          <w:bCs/>
          <w:color w:val="000000" w:themeColor="text1"/>
        </w:rPr>
        <w:t>Figure 7</w:t>
      </w:r>
      <w:commentRangeEnd w:id="43"/>
      <w:r>
        <w:rPr>
          <w:rStyle w:val="CommentReference"/>
          <w:rFonts w:asciiTheme="minorHAnsi" w:eastAsiaTheme="minorHAnsi" w:hAnsiTheme="minorHAnsi" w:cstheme="minorBidi"/>
        </w:rPr>
        <w:commentReference w:id="43"/>
      </w:r>
      <w:commentRangeEnd w:id="44"/>
      <w:r>
        <w:rPr>
          <w:rStyle w:val="CommentReference"/>
          <w:rFonts w:asciiTheme="minorHAnsi" w:eastAsiaTheme="minorHAnsi" w:hAnsiTheme="minorHAnsi" w:cstheme="minorBidi"/>
        </w:rPr>
        <w:commentReference w:id="44"/>
      </w:r>
      <w:r w:rsidR="00450A49" w:rsidRPr="001626B1">
        <w:rPr>
          <w:rFonts w:eastAsia="HGSMinchoE"/>
          <w:b/>
          <w:bCs/>
          <w:color w:val="000000" w:themeColor="text1"/>
        </w:rPr>
        <w:t xml:space="preserve">: </w:t>
      </w:r>
      <w:r w:rsidR="00450A49" w:rsidRPr="001626B1">
        <w:rPr>
          <w:rFonts w:eastAsia="HGSMinchoE"/>
          <w:color w:val="000000" w:themeColor="text1"/>
        </w:rPr>
        <w:t>Simulated growth rates and sizes of each population under two climate scenarios. (</w:t>
      </w:r>
      <w:r w:rsidR="00450A49" w:rsidRPr="001626B1">
        <w:rPr>
          <w:rFonts w:eastAsia="HGSMinchoE"/>
          <w:b/>
          <w:bCs/>
          <w:color w:val="000000" w:themeColor="text1"/>
        </w:rPr>
        <w:t>A</w:t>
      </w:r>
      <w:r w:rsidR="00450A49" w:rsidRPr="001626B1">
        <w:rPr>
          <w:rFonts w:eastAsia="HGSMinchoE"/>
          <w:color w:val="000000" w:themeColor="text1"/>
        </w:rPr>
        <w:t xml:space="preserve">) Simulated </w:t>
      </w:r>
      <w:r w:rsidR="00450A49">
        <w:rPr>
          <w:rFonts w:eastAsia="HGSMinchoE"/>
          <w:color w:val="000000" w:themeColor="text1"/>
        </w:rPr>
        <w:t>ln(</w:t>
      </w:r>
      <w:r w:rsidR="00450A49" w:rsidRPr="001626B1">
        <w:rPr>
          <w:rFonts w:eastAsia="HGSMinchoE"/>
          <w:color w:val="000000" w:themeColor="text1"/>
        </w:rPr>
        <w:t xml:space="preserve">λ) of the Soapstone prairie population stabilizes just above zero in both climate scenarios after ~30 years. Simulated </w:t>
      </w:r>
      <w:r w:rsidR="00450A49">
        <w:rPr>
          <w:rFonts w:eastAsia="HGSMinchoE"/>
          <w:color w:val="000000" w:themeColor="text1"/>
        </w:rPr>
        <w:t>ln(</w:t>
      </w:r>
      <w:r w:rsidR="00450A49" w:rsidRPr="001626B1">
        <w:rPr>
          <w:rFonts w:eastAsia="HGSMinchoE"/>
          <w:color w:val="000000" w:themeColor="text1"/>
        </w:rPr>
        <w:t xml:space="preserve">λ) of the FEWAFB population stabilizes just below zero after ~40 years. Solid, dark-colored lines show the mean </w:t>
      </w:r>
      <w:r w:rsidR="00450A49">
        <w:rPr>
          <w:rFonts w:eastAsia="HGSMinchoE"/>
          <w:color w:val="000000" w:themeColor="text1"/>
        </w:rPr>
        <w:t>ln(</w:t>
      </w:r>
      <w:r w:rsidR="00450A49" w:rsidRPr="001626B1">
        <w:rPr>
          <w:rFonts w:eastAsia="HGSMinchoE"/>
          <w:color w:val="000000" w:themeColor="text1"/>
        </w:rPr>
        <w:t xml:space="preserve">λ) at each simulated transition, while faint lines show </w:t>
      </w:r>
      <w:r w:rsidR="00450A49">
        <w:rPr>
          <w:rFonts w:eastAsia="HGSMinchoE"/>
          <w:color w:val="000000" w:themeColor="text1"/>
        </w:rPr>
        <w:t>ln(</w:t>
      </w:r>
      <w:r w:rsidR="00450A49" w:rsidRPr="001626B1">
        <w:rPr>
          <w:rFonts w:eastAsia="HGSMinchoE"/>
          <w:color w:val="000000" w:themeColor="text1"/>
        </w:rPr>
        <w:t xml:space="preserve">λ) values for each iteration of the simulation. Horizontal dashed lines indicate </w:t>
      </w:r>
      <w:r w:rsidR="00450A49">
        <w:rPr>
          <w:rFonts w:eastAsia="HGSMinchoE"/>
          <w:color w:val="000000" w:themeColor="text1"/>
        </w:rPr>
        <w:t>ln(</w:t>
      </w:r>
      <w:proofErr w:type="spellStart"/>
      <w:r w:rsidR="00450A49" w:rsidRPr="001626B1">
        <w:rPr>
          <w:rFonts w:eastAsia="HGSMinchoE"/>
          <w:color w:val="000000" w:themeColor="text1"/>
        </w:rPr>
        <w:t>λ</w:t>
      </w:r>
      <w:r w:rsidR="00450A49" w:rsidRPr="001626B1">
        <w:rPr>
          <w:rFonts w:eastAsia="HGSMinchoE"/>
          <w:color w:val="000000" w:themeColor="text1"/>
          <w:vertAlign w:val="subscript"/>
        </w:rPr>
        <w:t>s</w:t>
      </w:r>
      <w:proofErr w:type="spellEnd"/>
      <w:r w:rsidR="00450A49" w:rsidRPr="001626B1">
        <w:rPr>
          <w:rFonts w:eastAsia="HGSMinchoE"/>
          <w:color w:val="000000" w:themeColor="text1"/>
        </w:rPr>
        <w:t>) = 0. (</w:t>
      </w:r>
      <w:r w:rsidR="00450A49" w:rsidRPr="001626B1">
        <w:rPr>
          <w:rFonts w:eastAsia="HGSMinchoE"/>
          <w:b/>
          <w:bCs/>
          <w:color w:val="000000" w:themeColor="text1"/>
        </w:rPr>
        <w:t>B</w:t>
      </w:r>
      <w:r w:rsidR="00450A49" w:rsidRPr="001626B1">
        <w:rPr>
          <w:rFonts w:eastAsia="HGSMinchoE"/>
          <w:color w:val="000000" w:themeColor="text1"/>
        </w:rPr>
        <w:t>) Simulated size of the Soapstone prairie population grows until reaching an equilibrium size, which is smaller in the hotter and drier climate scenario. Simulated size of the FEWAFB population grows initially, but is still in decline at the end of the simulation period. (</w:t>
      </w:r>
      <w:r w:rsidR="00450A49" w:rsidRPr="001626B1">
        <w:rPr>
          <w:rFonts w:eastAsia="HGSMinchoE"/>
          <w:b/>
          <w:bCs/>
          <w:color w:val="000000" w:themeColor="text1"/>
        </w:rPr>
        <w:t>C</w:t>
      </w:r>
      <w:r w:rsidR="00450A49" w:rsidRPr="001626B1">
        <w:rPr>
          <w:rFonts w:eastAsia="HGSMinchoE"/>
          <w:color w:val="000000" w:themeColor="text1"/>
        </w:rPr>
        <w:t>) Climate scenario does not have a pronounced effect on the distribution of observed stochastic λ (</w:t>
      </w:r>
      <w:r w:rsidR="00450A49">
        <w:rPr>
          <w:rFonts w:eastAsia="HGSMinchoE"/>
          <w:color w:val="000000" w:themeColor="text1"/>
        </w:rPr>
        <w:t>ln(</w:t>
      </w:r>
      <w:proofErr w:type="spellStart"/>
      <w:r w:rsidR="00450A49" w:rsidRPr="001626B1">
        <w:rPr>
          <w:rFonts w:eastAsia="HGSMinchoE"/>
          <w:color w:val="000000" w:themeColor="text1"/>
        </w:rPr>
        <w:t>λ</w:t>
      </w:r>
      <w:r w:rsidR="00450A49" w:rsidRPr="001626B1">
        <w:rPr>
          <w:rFonts w:eastAsia="HGSMinchoE"/>
          <w:color w:val="000000" w:themeColor="text1"/>
          <w:vertAlign w:val="subscript"/>
        </w:rPr>
        <w:t>s</w:t>
      </w:r>
      <w:proofErr w:type="spellEnd"/>
      <w:r w:rsidR="00450A49" w:rsidRPr="001626B1">
        <w:rPr>
          <w:rFonts w:eastAsia="HGSMinchoE"/>
          <w:color w:val="000000" w:themeColor="text1"/>
        </w:rPr>
        <w:t xml:space="preserve">)) values in simulations of the FEWAFB population. In simulations of the </w:t>
      </w:r>
      <w:r w:rsidR="00450A49" w:rsidRPr="001626B1">
        <w:rPr>
          <w:rFonts w:eastAsia="HGSMinchoE"/>
          <w:color w:val="000000" w:themeColor="text1"/>
        </w:rPr>
        <w:lastRenderedPageBreak/>
        <w:t xml:space="preserve">Soapstone prairie population, mean </w:t>
      </w:r>
      <w:r w:rsidR="00450A49">
        <w:rPr>
          <w:rFonts w:eastAsia="HGSMinchoE"/>
          <w:color w:val="000000" w:themeColor="text1"/>
        </w:rPr>
        <w:t>ln(</w:t>
      </w:r>
      <w:proofErr w:type="spellStart"/>
      <w:r w:rsidR="00450A49" w:rsidRPr="001626B1">
        <w:rPr>
          <w:rFonts w:eastAsia="HGSMinchoE"/>
          <w:color w:val="000000" w:themeColor="text1"/>
        </w:rPr>
        <w:t>λ</w:t>
      </w:r>
      <w:r w:rsidR="00450A49" w:rsidRPr="001626B1">
        <w:rPr>
          <w:rFonts w:eastAsia="HGSMinchoE"/>
          <w:color w:val="000000" w:themeColor="text1"/>
          <w:vertAlign w:val="subscript"/>
        </w:rPr>
        <w:t>s</w:t>
      </w:r>
      <w:proofErr w:type="spellEnd"/>
      <w:r w:rsidR="00450A49" w:rsidRPr="001626B1">
        <w:rPr>
          <w:rFonts w:eastAsia="HGSMinchoE"/>
          <w:color w:val="000000" w:themeColor="text1"/>
        </w:rPr>
        <w:t>)</w:t>
      </w:r>
      <w:r w:rsidR="00450A49" w:rsidRPr="001626B1">
        <w:rPr>
          <w:rFonts w:eastAsia="HGSMinchoE"/>
          <w:color w:val="000000" w:themeColor="text1"/>
          <w:vertAlign w:val="subscript"/>
        </w:rPr>
        <w:t xml:space="preserve"> </w:t>
      </w:r>
      <w:r w:rsidR="00450A49" w:rsidRPr="001626B1">
        <w:rPr>
          <w:rFonts w:eastAsia="HGSMinchoE"/>
          <w:color w:val="000000" w:themeColor="text1"/>
        </w:rPr>
        <w:t xml:space="preserve">is lower under the hotter and drier climate scenario. Vertical dashed lines indicate mean </w:t>
      </w:r>
      <w:r w:rsidR="00450A49">
        <w:rPr>
          <w:rFonts w:eastAsia="HGSMinchoE"/>
          <w:color w:val="000000" w:themeColor="text1"/>
        </w:rPr>
        <w:t>ln(</w:t>
      </w:r>
      <w:proofErr w:type="spellStart"/>
      <w:r w:rsidR="00450A49" w:rsidRPr="001626B1">
        <w:rPr>
          <w:rFonts w:eastAsia="HGSMinchoE"/>
          <w:color w:val="000000" w:themeColor="text1"/>
        </w:rPr>
        <w:t>λ</w:t>
      </w:r>
      <w:r w:rsidR="00450A49" w:rsidRPr="001626B1">
        <w:rPr>
          <w:rFonts w:eastAsia="HGSMinchoE"/>
          <w:color w:val="000000" w:themeColor="text1"/>
          <w:vertAlign w:val="subscript"/>
        </w:rPr>
        <w:t>s</w:t>
      </w:r>
      <w:proofErr w:type="spellEnd"/>
      <w:r w:rsidR="00450A49" w:rsidRPr="001626B1">
        <w:rPr>
          <w:rFonts w:eastAsia="HGSMinchoE"/>
          <w:color w:val="000000" w:themeColor="text1"/>
        </w:rPr>
        <w:t xml:space="preserve">) under each climate scenario. </w:t>
      </w:r>
    </w:p>
    <w:p w14:paraId="084766B0" w14:textId="77777777" w:rsidR="00450A49" w:rsidRPr="001626B1" w:rsidRDefault="00450A49" w:rsidP="00450A49">
      <w:pPr>
        <w:pStyle w:val="NormalWeb"/>
        <w:rPr>
          <w:rFonts w:eastAsia="HGSMinchoE"/>
          <w:color w:val="000000" w:themeColor="text1"/>
        </w:rPr>
      </w:pPr>
      <w:r w:rsidRPr="001626B1">
        <w:rPr>
          <w:rFonts w:eastAsia="HGSMinchoE"/>
          <w:b/>
          <w:bCs/>
          <w:color w:val="000000" w:themeColor="text1"/>
        </w:rPr>
        <w:t>Table 6</w:t>
      </w:r>
      <w:r w:rsidRPr="001626B1">
        <w:rPr>
          <w:rFonts w:eastAsia="HGSMinchoE"/>
          <w:color w:val="000000" w:themeColor="text1"/>
        </w:rPr>
        <w:t>: Coefficients from vital rate models that were used to create projection IPMs</w:t>
      </w:r>
    </w:p>
    <w:tbl>
      <w:tblPr>
        <w:tblStyle w:val="TableGrid"/>
        <w:tblW w:w="9085" w:type="dxa"/>
        <w:tblInd w:w="85" w:type="dxa"/>
        <w:tblLayout w:type="fixed"/>
        <w:tblLook w:val="04A0" w:firstRow="1" w:lastRow="0" w:firstColumn="1" w:lastColumn="0" w:noHBand="0" w:noVBand="1"/>
      </w:tblPr>
      <w:tblGrid>
        <w:gridCol w:w="359"/>
        <w:gridCol w:w="1256"/>
        <w:gridCol w:w="1080"/>
        <w:gridCol w:w="990"/>
        <w:gridCol w:w="990"/>
        <w:gridCol w:w="1170"/>
        <w:gridCol w:w="1170"/>
        <w:gridCol w:w="900"/>
        <w:gridCol w:w="1170"/>
      </w:tblGrid>
      <w:tr w:rsidR="00450A49" w:rsidRPr="001626B1" w14:paraId="5767280B" w14:textId="77777777" w:rsidTr="00D74BE2">
        <w:tc>
          <w:tcPr>
            <w:tcW w:w="35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63B23D0" w14:textId="77777777" w:rsidR="00450A49" w:rsidRPr="00395879" w:rsidRDefault="00450A49" w:rsidP="00D74BE2">
            <w:pPr>
              <w:pStyle w:val="NormalWeb"/>
              <w:rPr>
                <w:rFonts w:eastAsia="HGSMinchoE"/>
                <w:color w:val="000000" w:themeColor="text1"/>
                <w:sz w:val="22"/>
                <w:szCs w:val="22"/>
              </w:rPr>
            </w:pPr>
          </w:p>
        </w:tc>
        <w:tc>
          <w:tcPr>
            <w:tcW w:w="1256"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15D9AD0B" w14:textId="77777777" w:rsidR="00450A49" w:rsidRPr="00395879" w:rsidRDefault="00450A49" w:rsidP="00D74BE2">
            <w:pPr>
              <w:pStyle w:val="NormalWeb"/>
              <w:rPr>
                <w:rFonts w:eastAsia="HGSMinchoE"/>
                <w:color w:val="000000" w:themeColor="text1"/>
                <w:sz w:val="22"/>
                <w:szCs w:val="22"/>
              </w:rPr>
            </w:pPr>
          </w:p>
        </w:tc>
        <w:tc>
          <w:tcPr>
            <w:tcW w:w="6300" w:type="dxa"/>
            <w:gridSpan w:val="6"/>
            <w:tcBorders>
              <w:top w:val="single" w:sz="18" w:space="0" w:color="000000" w:themeColor="text1"/>
              <w:left w:val="single" w:sz="18" w:space="0" w:color="000000" w:themeColor="text1"/>
              <w:bottom w:val="single" w:sz="12" w:space="0" w:color="000000" w:themeColor="text1"/>
              <w:right w:val="single" w:sz="12" w:space="0" w:color="000000" w:themeColor="text1"/>
            </w:tcBorders>
            <w:shd w:val="clear" w:color="auto" w:fill="F2F2F2" w:themeFill="background1" w:themeFillShade="F2"/>
            <w:vAlign w:val="center"/>
          </w:tcPr>
          <w:p w14:paraId="5AD0479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Coefficient                                                                                                (</w:t>
            </w:r>
            <w:r w:rsidRPr="00395879">
              <w:rPr>
                <w:rFonts w:eastAsia="HGSMinchoE"/>
                <w:i/>
                <w:iCs/>
                <w:color w:val="000000" w:themeColor="text1"/>
                <w:sz w:val="22"/>
                <w:szCs w:val="22"/>
              </w:rPr>
              <w:t>P</w:t>
            </w:r>
            <w:r w:rsidRPr="00395879">
              <w:rPr>
                <w:rFonts w:eastAsia="HGSMinchoE"/>
                <w:color w:val="000000" w:themeColor="text1"/>
                <w:sz w:val="22"/>
                <w:szCs w:val="22"/>
              </w:rPr>
              <w:t>-value)</w:t>
            </w:r>
          </w:p>
        </w:tc>
        <w:tc>
          <w:tcPr>
            <w:tcW w:w="1170" w:type="dxa"/>
            <w:tcBorders>
              <w:top w:val="single" w:sz="18" w:space="0" w:color="000000" w:themeColor="text1"/>
              <w:left w:val="single" w:sz="12" w:space="0" w:color="000000" w:themeColor="text1"/>
              <w:bottom w:val="single" w:sz="12" w:space="0" w:color="000000" w:themeColor="text1"/>
              <w:right w:val="single" w:sz="18" w:space="0" w:color="000000" w:themeColor="text1"/>
            </w:tcBorders>
            <w:shd w:val="clear" w:color="auto" w:fill="F2F2F2" w:themeFill="background1" w:themeFillShade="F2"/>
            <w:vAlign w:val="center"/>
          </w:tcPr>
          <w:p w14:paraId="0357B92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Variance (std. dev.)</w:t>
            </w:r>
          </w:p>
        </w:tc>
      </w:tr>
      <w:tr w:rsidR="00450A49" w:rsidRPr="001626B1" w14:paraId="71AA68B9" w14:textId="77777777" w:rsidTr="00D74BE2">
        <w:tc>
          <w:tcPr>
            <w:tcW w:w="359"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2B781925" w14:textId="77777777" w:rsidR="00450A49" w:rsidRPr="00395879" w:rsidRDefault="00450A49" w:rsidP="00D74BE2">
            <w:pPr>
              <w:pStyle w:val="NormalWeb"/>
              <w:rPr>
                <w:rFonts w:eastAsia="HGSMinchoE"/>
                <w:color w:val="000000" w:themeColor="text1"/>
                <w:sz w:val="22"/>
                <w:szCs w:val="22"/>
              </w:rPr>
            </w:pPr>
          </w:p>
        </w:tc>
        <w:tc>
          <w:tcPr>
            <w:tcW w:w="125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vAlign w:val="center"/>
          </w:tcPr>
          <w:p w14:paraId="3969708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Response Variable</w:t>
            </w:r>
          </w:p>
        </w:tc>
        <w:tc>
          <w:tcPr>
            <w:tcW w:w="1080" w:type="dxa"/>
            <w:tcBorders>
              <w:top w:val="single" w:sz="12" w:space="0" w:color="000000" w:themeColor="text1"/>
              <w:left w:val="single" w:sz="18" w:space="0" w:color="000000" w:themeColor="text1"/>
              <w:bottom w:val="single" w:sz="18" w:space="0" w:color="000000" w:themeColor="text1"/>
            </w:tcBorders>
            <w:vAlign w:val="center"/>
          </w:tcPr>
          <w:p w14:paraId="1D0F3EA5"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Intercept</w:t>
            </w:r>
          </w:p>
        </w:tc>
        <w:tc>
          <w:tcPr>
            <w:tcW w:w="990" w:type="dxa"/>
            <w:tcBorders>
              <w:top w:val="single" w:sz="12" w:space="0" w:color="000000" w:themeColor="text1"/>
              <w:bottom w:val="single" w:sz="18" w:space="0" w:color="000000" w:themeColor="text1"/>
            </w:tcBorders>
            <w:vAlign w:val="center"/>
          </w:tcPr>
          <w:p w14:paraId="6CE2F19E"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l</w:t>
            </w:r>
            <w:r>
              <w:rPr>
                <w:rFonts w:eastAsia="HGSMinchoE"/>
                <w:color w:val="000000" w:themeColor="text1"/>
                <w:sz w:val="22"/>
                <w:szCs w:val="22"/>
              </w:rPr>
              <w:t>n</w:t>
            </w:r>
            <w:r w:rsidRPr="00395879">
              <w:rPr>
                <w:rFonts w:eastAsia="HGSMinchoE"/>
                <w:color w:val="000000" w:themeColor="text1"/>
                <w:sz w:val="22"/>
                <w:szCs w:val="22"/>
              </w:rPr>
              <w:t>(</w:t>
            </w:r>
            <w:proofErr w:type="spellStart"/>
            <w:r w:rsidRPr="00395879">
              <w:rPr>
                <w:rFonts w:eastAsia="HGSMinchoE"/>
                <w:color w:val="000000" w:themeColor="text1"/>
                <w:sz w:val="22"/>
                <w:szCs w:val="22"/>
              </w:rPr>
              <w:t>size</w:t>
            </w:r>
            <w:r w:rsidRPr="00395879">
              <w:rPr>
                <w:rFonts w:eastAsia="HGSMinchoE"/>
                <w:i/>
                <w:iCs/>
                <w:color w:val="000000" w:themeColor="text1"/>
                <w:sz w:val="22"/>
                <w:szCs w:val="22"/>
                <w:vertAlign w:val="subscript"/>
              </w:rPr>
              <w:t>t</w:t>
            </w:r>
            <w:proofErr w:type="spellEnd"/>
            <w:r w:rsidRPr="00395879">
              <w:rPr>
                <w:rFonts w:eastAsia="HGSMinchoE"/>
                <w:color w:val="000000" w:themeColor="text1"/>
                <w:sz w:val="22"/>
                <w:szCs w:val="22"/>
              </w:rPr>
              <w:t>)</w:t>
            </w:r>
          </w:p>
        </w:tc>
        <w:tc>
          <w:tcPr>
            <w:tcW w:w="990" w:type="dxa"/>
            <w:tcBorders>
              <w:bottom w:val="single" w:sz="18" w:space="0" w:color="000000" w:themeColor="text1"/>
            </w:tcBorders>
            <w:vAlign w:val="center"/>
          </w:tcPr>
          <w:p w14:paraId="595C24A5"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l</w:t>
            </w:r>
            <w:r>
              <w:rPr>
                <w:rFonts w:eastAsia="HGSMinchoE"/>
                <w:color w:val="000000" w:themeColor="text1"/>
                <w:sz w:val="22"/>
                <w:szCs w:val="22"/>
              </w:rPr>
              <w:t>n</w:t>
            </w:r>
            <w:r w:rsidRPr="00395879">
              <w:rPr>
                <w:rFonts w:eastAsia="HGSMinchoE"/>
                <w:color w:val="000000" w:themeColor="text1"/>
                <w:sz w:val="22"/>
                <w:szCs w:val="22"/>
              </w:rPr>
              <w:t>(</w:t>
            </w:r>
            <w:proofErr w:type="spellStart"/>
            <w:r w:rsidRPr="00395879">
              <w:rPr>
                <w:rFonts w:eastAsia="HGSMinchoE"/>
                <w:color w:val="000000" w:themeColor="text1"/>
                <w:sz w:val="22"/>
                <w:szCs w:val="22"/>
              </w:rPr>
              <w:t>size</w:t>
            </w:r>
            <w:r w:rsidRPr="00395879">
              <w:rPr>
                <w:rFonts w:eastAsia="HGSMinchoE"/>
                <w:i/>
                <w:iCs/>
                <w:color w:val="000000" w:themeColor="text1"/>
                <w:sz w:val="22"/>
                <w:szCs w:val="22"/>
                <w:vertAlign w:val="subscript"/>
              </w:rPr>
              <w:t>t</w:t>
            </w:r>
            <w:proofErr w:type="spellEnd"/>
            <w:r w:rsidRPr="00395879">
              <w:rPr>
                <w:rFonts w:eastAsia="HGSMinchoE"/>
                <w:color w:val="000000" w:themeColor="text1"/>
                <w:sz w:val="22"/>
                <w:szCs w:val="22"/>
              </w:rPr>
              <w:t>)</w:t>
            </w:r>
            <w:r w:rsidRPr="00395879">
              <w:rPr>
                <w:rFonts w:eastAsia="HGSMinchoE"/>
                <w:color w:val="000000" w:themeColor="text1"/>
                <w:sz w:val="22"/>
                <w:szCs w:val="22"/>
                <w:vertAlign w:val="superscript"/>
              </w:rPr>
              <w:t>2</w:t>
            </w:r>
          </w:p>
        </w:tc>
        <w:tc>
          <w:tcPr>
            <w:tcW w:w="1170" w:type="dxa"/>
            <w:tcBorders>
              <w:bottom w:val="single" w:sz="18" w:space="0" w:color="000000" w:themeColor="text1"/>
            </w:tcBorders>
            <w:vAlign w:val="center"/>
          </w:tcPr>
          <w:p w14:paraId="3EF6BDA9"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Plot-level plant density</w:t>
            </w:r>
          </w:p>
        </w:tc>
        <w:tc>
          <w:tcPr>
            <w:tcW w:w="1170" w:type="dxa"/>
            <w:tcBorders>
              <w:bottom w:val="single" w:sz="18" w:space="0" w:color="000000" w:themeColor="text1"/>
            </w:tcBorders>
            <w:vAlign w:val="center"/>
          </w:tcPr>
          <w:p w14:paraId="1AD6CF91"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mean growing season temp.</w:t>
            </w:r>
          </w:p>
        </w:tc>
        <w:tc>
          <w:tcPr>
            <w:tcW w:w="900" w:type="dxa"/>
            <w:tcBorders>
              <w:bottom w:val="single" w:sz="18" w:space="0" w:color="000000" w:themeColor="text1"/>
              <w:right w:val="single" w:sz="12" w:space="0" w:color="000000" w:themeColor="text1"/>
            </w:tcBorders>
            <w:vAlign w:val="center"/>
          </w:tcPr>
          <w:p w14:paraId="3DE5B8FB"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total water-year </w:t>
            </w:r>
            <w:proofErr w:type="spellStart"/>
            <w:r w:rsidRPr="00395879">
              <w:rPr>
                <w:rFonts w:eastAsia="HGSMinchoE"/>
                <w:color w:val="000000" w:themeColor="text1"/>
                <w:sz w:val="22"/>
                <w:szCs w:val="22"/>
              </w:rPr>
              <w:t>precip</w:t>
            </w:r>
            <w:proofErr w:type="spellEnd"/>
            <w:r w:rsidRPr="00395879">
              <w:rPr>
                <w:rFonts w:eastAsia="HGSMinchoE"/>
                <w:color w:val="000000" w:themeColor="text1"/>
                <w:sz w:val="22"/>
                <w:szCs w:val="22"/>
              </w:rPr>
              <w:t>.</w:t>
            </w:r>
          </w:p>
        </w:tc>
        <w:tc>
          <w:tcPr>
            <w:tcW w:w="1170" w:type="dxa"/>
            <w:tcBorders>
              <w:top w:val="single" w:sz="12" w:space="0" w:color="000000" w:themeColor="text1"/>
              <w:left w:val="single" w:sz="12" w:space="0" w:color="000000" w:themeColor="text1"/>
              <w:bottom w:val="single" w:sz="18" w:space="0" w:color="000000" w:themeColor="text1"/>
              <w:right w:val="single" w:sz="18" w:space="0" w:color="000000" w:themeColor="text1"/>
            </w:tcBorders>
            <w:vAlign w:val="center"/>
          </w:tcPr>
          <w:p w14:paraId="30F63DB7" w14:textId="77777777" w:rsidR="00450A49" w:rsidRPr="00395879" w:rsidRDefault="00450A49" w:rsidP="00D74BE2">
            <w:pPr>
              <w:pStyle w:val="NormalWeb"/>
              <w:jc w:val="center"/>
              <w:rPr>
                <w:rFonts w:eastAsia="HGSMinchoE"/>
                <w:color w:val="000000" w:themeColor="text1"/>
                <w:sz w:val="22"/>
                <w:szCs w:val="22"/>
              </w:rPr>
            </w:pPr>
            <w:proofErr w:type="spellStart"/>
            <w:r w:rsidRPr="00395879">
              <w:rPr>
                <w:rFonts w:eastAsia="HGSMinchoE"/>
                <w:color w:val="000000" w:themeColor="text1"/>
                <w:sz w:val="22"/>
                <w:szCs w:val="22"/>
              </w:rPr>
              <w:t>subpop</w:t>
            </w:r>
            <w:proofErr w:type="spellEnd"/>
            <w:r w:rsidRPr="00395879">
              <w:rPr>
                <w:rFonts w:eastAsia="HGSMinchoE"/>
                <w:color w:val="000000" w:themeColor="text1"/>
                <w:sz w:val="22"/>
                <w:szCs w:val="22"/>
              </w:rPr>
              <w:t>. random-intercept</w:t>
            </w:r>
          </w:p>
        </w:tc>
      </w:tr>
      <w:tr w:rsidR="00450A49" w:rsidRPr="001626B1" w14:paraId="30F8FC87" w14:textId="77777777" w:rsidTr="00D74BE2">
        <w:tc>
          <w:tcPr>
            <w:tcW w:w="359" w:type="dxa"/>
            <w:vMerge w:val="restart"/>
            <w:tcBorders>
              <w:top w:val="single" w:sz="18" w:space="0" w:color="000000" w:themeColor="text1"/>
              <w:left w:val="single" w:sz="18" w:space="0" w:color="000000" w:themeColor="text1"/>
              <w:right w:val="single" w:sz="18" w:space="0" w:color="000000" w:themeColor="text1"/>
            </w:tcBorders>
            <w:textDirection w:val="btLr"/>
          </w:tcPr>
          <w:p w14:paraId="318079D8" w14:textId="77777777" w:rsidR="00450A49" w:rsidRPr="00395879" w:rsidRDefault="00450A49" w:rsidP="00D74BE2">
            <w:pPr>
              <w:pStyle w:val="NormalWeb"/>
              <w:ind w:left="113" w:right="113"/>
              <w:jc w:val="center"/>
              <w:rPr>
                <w:rFonts w:eastAsia="HGSMinchoE"/>
                <w:color w:val="000000" w:themeColor="text1"/>
                <w:sz w:val="22"/>
                <w:szCs w:val="22"/>
              </w:rPr>
            </w:pPr>
            <w:r w:rsidRPr="00395879">
              <w:rPr>
                <w:rFonts w:eastAsia="HGSMinchoE"/>
                <w:color w:val="000000" w:themeColor="text1"/>
                <w:sz w:val="22"/>
                <w:szCs w:val="22"/>
              </w:rPr>
              <w:t>Soapstone Prairie</w:t>
            </w:r>
          </w:p>
        </w:tc>
        <w:tc>
          <w:tcPr>
            <w:tcW w:w="1256" w:type="dxa"/>
            <w:tcBorders>
              <w:top w:val="single" w:sz="18" w:space="0" w:color="000000" w:themeColor="text1"/>
              <w:left w:val="single" w:sz="18" w:space="0" w:color="000000" w:themeColor="text1"/>
              <w:right w:val="single" w:sz="18" w:space="0" w:color="000000" w:themeColor="text1"/>
            </w:tcBorders>
            <w:shd w:val="clear" w:color="auto" w:fill="F2F2F2" w:themeFill="background1" w:themeFillShade="F2"/>
          </w:tcPr>
          <w:p w14:paraId="28CF1808"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shd w:val="clear" w:color="auto" w:fill="F2F2F2" w:themeFill="background1" w:themeFillShade="F2"/>
          </w:tcPr>
          <w:p w14:paraId="2BD9A61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-0.21 </w:t>
            </w:r>
            <w:r w:rsidRPr="006456A5">
              <w:rPr>
                <w:rFonts w:eastAsia="HGSMinchoE"/>
                <w:color w:val="000000" w:themeColor="text1"/>
                <w:sz w:val="20"/>
                <w:szCs w:val="20"/>
              </w:rPr>
              <w:t>(0</w:t>
            </w:r>
            <w:r w:rsidRPr="006456A5">
              <w:rPr>
                <w:rFonts w:eastAsia="HGSMinchoE"/>
                <w:color w:val="000000" w:themeColor="text1"/>
                <w:sz w:val="22"/>
                <w:szCs w:val="22"/>
              </w:rPr>
              <w:t>.48)</w:t>
            </w:r>
          </w:p>
        </w:tc>
        <w:tc>
          <w:tcPr>
            <w:tcW w:w="990" w:type="dxa"/>
            <w:tcBorders>
              <w:top w:val="single" w:sz="18" w:space="0" w:color="000000" w:themeColor="text1"/>
            </w:tcBorders>
            <w:shd w:val="clear" w:color="auto" w:fill="F2F2F2" w:themeFill="background1" w:themeFillShade="F2"/>
          </w:tcPr>
          <w:p w14:paraId="57C5F9F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0.73      </w:t>
            </w:r>
            <w:r w:rsidRPr="006456A5">
              <w:rPr>
                <w:rFonts w:eastAsia="HGSMinchoE"/>
                <w:color w:val="000000" w:themeColor="text1"/>
                <w:sz w:val="20"/>
                <w:szCs w:val="20"/>
              </w:rPr>
              <w:t>(&lt; 0.01)</w:t>
            </w:r>
          </w:p>
        </w:tc>
        <w:tc>
          <w:tcPr>
            <w:tcW w:w="990" w:type="dxa"/>
            <w:tcBorders>
              <w:top w:val="single" w:sz="18" w:space="0" w:color="000000" w:themeColor="text1"/>
            </w:tcBorders>
            <w:shd w:val="clear" w:color="auto" w:fill="F2F2F2" w:themeFill="background1" w:themeFillShade="F2"/>
            <w:vAlign w:val="center"/>
          </w:tcPr>
          <w:p w14:paraId="6112DC8E"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top w:val="single" w:sz="18" w:space="0" w:color="000000" w:themeColor="text1"/>
            </w:tcBorders>
            <w:shd w:val="clear" w:color="auto" w:fill="F2F2F2" w:themeFill="background1" w:themeFillShade="F2"/>
          </w:tcPr>
          <w:p w14:paraId="2BA42867"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0.002         </w:t>
            </w:r>
            <w:r w:rsidRPr="006456A5">
              <w:rPr>
                <w:rFonts w:eastAsia="HGSMinchoE"/>
                <w:color w:val="000000" w:themeColor="text1"/>
                <w:sz w:val="20"/>
                <w:szCs w:val="20"/>
              </w:rPr>
              <w:t>(&lt; 0.01)</w:t>
            </w:r>
          </w:p>
        </w:tc>
        <w:tc>
          <w:tcPr>
            <w:tcW w:w="1170" w:type="dxa"/>
            <w:tcBorders>
              <w:top w:val="single" w:sz="18" w:space="0" w:color="000000" w:themeColor="text1"/>
            </w:tcBorders>
            <w:shd w:val="clear" w:color="auto" w:fill="F2F2F2" w:themeFill="background1" w:themeFillShade="F2"/>
          </w:tcPr>
          <w:p w14:paraId="53AEB1B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0.82         </w:t>
            </w:r>
            <w:r w:rsidRPr="006456A5">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shd w:val="clear" w:color="auto" w:fill="F2F2F2" w:themeFill="background1" w:themeFillShade="F2"/>
          </w:tcPr>
          <w:p w14:paraId="6FE47918"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top w:val="single" w:sz="18" w:space="0" w:color="000000" w:themeColor="text1"/>
              <w:left w:val="single" w:sz="12" w:space="0" w:color="000000" w:themeColor="text1"/>
              <w:right w:val="single" w:sz="18" w:space="0" w:color="000000" w:themeColor="text1"/>
            </w:tcBorders>
            <w:shd w:val="clear" w:color="auto" w:fill="F2F2F2" w:themeFill="background1" w:themeFillShade="F2"/>
          </w:tcPr>
          <w:p w14:paraId="2B066FB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0.24  </w:t>
            </w:r>
            <w:r w:rsidRPr="006456A5">
              <w:rPr>
                <w:rFonts w:eastAsia="HGSMinchoE"/>
                <w:color w:val="000000" w:themeColor="text1"/>
                <w:sz w:val="20"/>
                <w:szCs w:val="20"/>
              </w:rPr>
              <w:t>(0.49)</w:t>
            </w:r>
          </w:p>
        </w:tc>
      </w:tr>
      <w:tr w:rsidR="00450A49" w:rsidRPr="001626B1" w14:paraId="3A31DA1F" w14:textId="77777777" w:rsidTr="00D74BE2">
        <w:tc>
          <w:tcPr>
            <w:tcW w:w="359" w:type="dxa"/>
            <w:vMerge/>
            <w:tcBorders>
              <w:left w:val="single" w:sz="18" w:space="0" w:color="000000" w:themeColor="text1"/>
              <w:right w:val="single" w:sz="18" w:space="0" w:color="000000" w:themeColor="text1"/>
            </w:tcBorders>
          </w:tcPr>
          <w:p w14:paraId="5AFC853B" w14:textId="77777777" w:rsidR="00450A49" w:rsidRPr="00395879" w:rsidRDefault="00450A49" w:rsidP="00D74BE2">
            <w:pPr>
              <w:pStyle w:val="NormalWeb"/>
              <w:jc w:val="center"/>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tcPr>
          <w:p w14:paraId="24901F7F" w14:textId="77777777" w:rsidR="00450A49" w:rsidRPr="006456A5" w:rsidRDefault="00450A49" w:rsidP="00D74BE2">
            <w:pPr>
              <w:pStyle w:val="NormalWeb"/>
              <w:rPr>
                <w:rFonts w:eastAsia="HGSMinchoE"/>
                <w:color w:val="000000" w:themeColor="text1"/>
                <w:sz w:val="22"/>
                <w:szCs w:val="22"/>
              </w:rPr>
            </w:pPr>
            <w:r>
              <w:rPr>
                <w:rFonts w:eastAsia="HGSMinchoE"/>
                <w:color w:val="000000" w:themeColor="text1"/>
                <w:sz w:val="22"/>
                <w:szCs w:val="22"/>
              </w:rPr>
              <w:t>ln(</w:t>
            </w:r>
            <w:r w:rsidRPr="006456A5">
              <w:rPr>
                <w:rFonts w:eastAsia="HGSMinchoE"/>
                <w:color w:val="000000" w:themeColor="text1"/>
                <w:sz w:val="22"/>
                <w:szCs w:val="22"/>
              </w:rPr>
              <w:t>size</w:t>
            </w:r>
            <w:r w:rsidRPr="006456A5">
              <w:rPr>
                <w:rFonts w:eastAsia="HGSMinchoE"/>
                <w:i/>
                <w:iCs/>
                <w:color w:val="000000" w:themeColor="text1"/>
                <w:sz w:val="22"/>
                <w:szCs w:val="22"/>
                <w:vertAlign w:val="subscript"/>
              </w:rPr>
              <w:t>t</w:t>
            </w:r>
            <w:r w:rsidRPr="006456A5">
              <w:rPr>
                <w:rFonts w:eastAsia="HGSMinchoE"/>
                <w:color w:val="000000" w:themeColor="text1"/>
                <w:sz w:val="22"/>
                <w:szCs w:val="22"/>
                <w:vertAlign w:val="subscript"/>
              </w:rPr>
              <w:t>+1</w:t>
            </w:r>
            <w:r w:rsidRPr="006456A5">
              <w:rPr>
                <w:rFonts w:eastAsia="HGSMinchoE"/>
                <w:color w:val="000000" w:themeColor="text1"/>
                <w:sz w:val="22"/>
                <w:szCs w:val="22"/>
              </w:rPr>
              <w:t>)</w:t>
            </w:r>
          </w:p>
        </w:tc>
        <w:tc>
          <w:tcPr>
            <w:tcW w:w="1080" w:type="dxa"/>
            <w:tcBorders>
              <w:left w:val="single" w:sz="18" w:space="0" w:color="000000" w:themeColor="text1"/>
            </w:tcBorders>
          </w:tcPr>
          <w:p w14:paraId="481516A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1.56 </w:t>
            </w:r>
            <w:r w:rsidRPr="006456A5">
              <w:rPr>
                <w:rFonts w:eastAsia="HGSMinchoE"/>
                <w:color w:val="000000" w:themeColor="text1"/>
                <w:sz w:val="20"/>
                <w:szCs w:val="20"/>
              </w:rPr>
              <w:t>(0.001)</w:t>
            </w:r>
          </w:p>
        </w:tc>
        <w:tc>
          <w:tcPr>
            <w:tcW w:w="990" w:type="dxa"/>
          </w:tcPr>
          <w:p w14:paraId="6C13553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0.17      </w:t>
            </w:r>
            <w:r w:rsidRPr="006456A5">
              <w:rPr>
                <w:rFonts w:eastAsia="HGSMinchoE"/>
                <w:color w:val="000000" w:themeColor="text1"/>
                <w:sz w:val="20"/>
                <w:szCs w:val="20"/>
              </w:rPr>
              <w:t>(&lt; 0.01)</w:t>
            </w:r>
          </w:p>
        </w:tc>
        <w:tc>
          <w:tcPr>
            <w:tcW w:w="990" w:type="dxa"/>
            <w:vAlign w:val="center"/>
          </w:tcPr>
          <w:p w14:paraId="3CB8260C"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Pr>
          <w:p w14:paraId="7F986DE7"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-3.76x10</w:t>
            </w:r>
            <w:r w:rsidRPr="006456A5">
              <w:rPr>
                <w:rFonts w:eastAsia="HGSMinchoE"/>
                <w:color w:val="000000" w:themeColor="text1"/>
                <w:sz w:val="22"/>
                <w:szCs w:val="22"/>
                <w:vertAlign w:val="superscript"/>
              </w:rPr>
              <w:t>-5</w:t>
            </w:r>
            <w:r w:rsidRPr="006456A5">
              <w:rPr>
                <w:rFonts w:eastAsia="HGSMinchoE"/>
                <w:color w:val="000000" w:themeColor="text1"/>
                <w:sz w:val="22"/>
                <w:szCs w:val="22"/>
              </w:rPr>
              <w:t xml:space="preserve"> </w:t>
            </w:r>
            <w:r w:rsidRPr="006456A5">
              <w:rPr>
                <w:rFonts w:eastAsia="HGSMinchoE"/>
                <w:color w:val="000000" w:themeColor="text1"/>
                <w:sz w:val="20"/>
                <w:szCs w:val="20"/>
              </w:rPr>
              <w:t>(0.39)</w:t>
            </w:r>
          </w:p>
        </w:tc>
        <w:tc>
          <w:tcPr>
            <w:tcW w:w="1170" w:type="dxa"/>
          </w:tcPr>
          <w:p w14:paraId="15BD251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0.21         </w:t>
            </w:r>
            <w:r w:rsidRPr="006456A5">
              <w:rPr>
                <w:rFonts w:eastAsia="HGSMinchoE"/>
                <w:color w:val="000000" w:themeColor="text1"/>
                <w:sz w:val="20"/>
                <w:szCs w:val="20"/>
              </w:rPr>
              <w:t>(&lt; 0.01)</w:t>
            </w:r>
          </w:p>
        </w:tc>
        <w:tc>
          <w:tcPr>
            <w:tcW w:w="900" w:type="dxa"/>
            <w:tcBorders>
              <w:right w:val="single" w:sz="12" w:space="0" w:color="000000" w:themeColor="text1"/>
            </w:tcBorders>
          </w:tcPr>
          <w:p w14:paraId="1443B14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left w:val="single" w:sz="12" w:space="0" w:color="000000" w:themeColor="text1"/>
              <w:right w:val="single" w:sz="18" w:space="0" w:color="000000" w:themeColor="text1"/>
            </w:tcBorders>
          </w:tcPr>
          <w:p w14:paraId="03F3C74F"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0.01  </w:t>
            </w:r>
            <w:r w:rsidRPr="006456A5">
              <w:rPr>
                <w:rFonts w:eastAsia="HGSMinchoE"/>
                <w:color w:val="000000" w:themeColor="text1"/>
                <w:sz w:val="20"/>
                <w:szCs w:val="20"/>
              </w:rPr>
              <w:t>(0.10)</w:t>
            </w:r>
          </w:p>
        </w:tc>
      </w:tr>
      <w:tr w:rsidR="00450A49" w:rsidRPr="001626B1" w14:paraId="616263B2" w14:textId="77777777" w:rsidTr="00D74BE2">
        <w:tc>
          <w:tcPr>
            <w:tcW w:w="359" w:type="dxa"/>
            <w:vMerge/>
            <w:tcBorders>
              <w:left w:val="single" w:sz="18" w:space="0" w:color="000000" w:themeColor="text1"/>
              <w:right w:val="single" w:sz="18" w:space="0" w:color="000000" w:themeColor="text1"/>
            </w:tcBorders>
          </w:tcPr>
          <w:p w14:paraId="2589A87C" w14:textId="77777777" w:rsidR="00450A49" w:rsidRPr="00395879" w:rsidRDefault="00450A49" w:rsidP="00D74BE2">
            <w:pPr>
              <w:pStyle w:val="NormalWeb"/>
              <w:jc w:val="center"/>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shd w:val="clear" w:color="auto" w:fill="F2F2F2" w:themeFill="background1" w:themeFillShade="F2"/>
          </w:tcPr>
          <w:p w14:paraId="2D1172FE"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P(fl</w:t>
            </w:r>
            <w:r>
              <w:rPr>
                <w:rFonts w:eastAsia="HGSMinchoE"/>
                <w:color w:val="000000" w:themeColor="text1"/>
                <w:sz w:val="22"/>
                <w:szCs w:val="22"/>
              </w:rPr>
              <w:t>ower</w:t>
            </w:r>
            <w:r w:rsidRPr="006456A5">
              <w:rPr>
                <w:rFonts w:eastAsia="HGSMinchoE"/>
                <w:color w:val="000000" w:themeColor="text1"/>
                <w:sz w:val="22"/>
                <w:szCs w:val="22"/>
              </w:rPr>
              <w:t>)</w:t>
            </w:r>
          </w:p>
        </w:tc>
        <w:tc>
          <w:tcPr>
            <w:tcW w:w="1080" w:type="dxa"/>
            <w:tcBorders>
              <w:left w:val="single" w:sz="18" w:space="0" w:color="000000" w:themeColor="text1"/>
            </w:tcBorders>
            <w:shd w:val="clear" w:color="auto" w:fill="F2F2F2" w:themeFill="background1" w:themeFillShade="F2"/>
          </w:tcPr>
          <w:p w14:paraId="11753AD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-30.77   </w:t>
            </w:r>
            <w:r w:rsidRPr="006456A5">
              <w:rPr>
                <w:rFonts w:eastAsia="HGSMinchoE"/>
                <w:color w:val="000000" w:themeColor="text1"/>
                <w:sz w:val="20"/>
                <w:szCs w:val="20"/>
              </w:rPr>
              <w:t>(&lt; 0.01)</w:t>
            </w:r>
          </w:p>
        </w:tc>
        <w:tc>
          <w:tcPr>
            <w:tcW w:w="990" w:type="dxa"/>
            <w:shd w:val="clear" w:color="auto" w:fill="F2F2F2" w:themeFill="background1" w:themeFillShade="F2"/>
          </w:tcPr>
          <w:p w14:paraId="595FF9C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23.13     </w:t>
            </w:r>
            <w:r w:rsidRPr="006456A5">
              <w:rPr>
                <w:rFonts w:eastAsia="HGSMinchoE"/>
                <w:color w:val="000000" w:themeColor="text1"/>
                <w:sz w:val="20"/>
                <w:szCs w:val="20"/>
              </w:rPr>
              <w:t>(&lt; 0.01)</w:t>
            </w:r>
          </w:p>
        </w:tc>
        <w:tc>
          <w:tcPr>
            <w:tcW w:w="990" w:type="dxa"/>
            <w:shd w:val="clear" w:color="auto" w:fill="F2F2F2" w:themeFill="background1" w:themeFillShade="F2"/>
          </w:tcPr>
          <w:p w14:paraId="51FE9B7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-4.34     </w:t>
            </w:r>
            <w:r>
              <w:rPr>
                <w:rFonts w:eastAsia="HGSMinchoE"/>
                <w:color w:val="000000" w:themeColor="text1"/>
                <w:sz w:val="22"/>
                <w:szCs w:val="22"/>
              </w:rPr>
              <w:t xml:space="preserve"> </w:t>
            </w:r>
            <w:r w:rsidRPr="006456A5">
              <w:rPr>
                <w:rFonts w:eastAsia="HGSMinchoE"/>
                <w:color w:val="000000" w:themeColor="text1"/>
                <w:sz w:val="22"/>
                <w:szCs w:val="22"/>
              </w:rPr>
              <w:t xml:space="preserve"> </w:t>
            </w:r>
            <w:r w:rsidRPr="006456A5">
              <w:rPr>
                <w:rFonts w:eastAsia="HGSMinchoE"/>
                <w:color w:val="000000" w:themeColor="text1"/>
                <w:sz w:val="20"/>
                <w:szCs w:val="20"/>
              </w:rPr>
              <w:t>(&lt; 0.01)</w:t>
            </w:r>
          </w:p>
        </w:tc>
        <w:tc>
          <w:tcPr>
            <w:tcW w:w="1170" w:type="dxa"/>
            <w:shd w:val="clear" w:color="auto" w:fill="F2F2F2" w:themeFill="background1" w:themeFillShade="F2"/>
          </w:tcPr>
          <w:p w14:paraId="2F9FF3D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0.0014 </w:t>
            </w:r>
            <w:r w:rsidRPr="006456A5">
              <w:rPr>
                <w:rFonts w:eastAsia="HGSMinchoE"/>
                <w:color w:val="000000" w:themeColor="text1"/>
                <w:sz w:val="20"/>
                <w:szCs w:val="20"/>
              </w:rPr>
              <w:t>(0.007)</w:t>
            </w:r>
          </w:p>
        </w:tc>
        <w:tc>
          <w:tcPr>
            <w:tcW w:w="1170" w:type="dxa"/>
            <w:shd w:val="clear" w:color="auto" w:fill="F2F2F2" w:themeFill="background1" w:themeFillShade="F2"/>
          </w:tcPr>
          <w:p w14:paraId="265A220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0.50          </w:t>
            </w:r>
            <w:r w:rsidRPr="006456A5">
              <w:rPr>
                <w:rFonts w:eastAsia="HGSMinchoE"/>
                <w:color w:val="000000" w:themeColor="text1"/>
                <w:sz w:val="20"/>
                <w:szCs w:val="20"/>
              </w:rPr>
              <w:t>(&lt; 0.01)</w:t>
            </w:r>
          </w:p>
        </w:tc>
        <w:tc>
          <w:tcPr>
            <w:tcW w:w="900" w:type="dxa"/>
            <w:tcBorders>
              <w:right w:val="single" w:sz="12" w:space="0" w:color="000000" w:themeColor="text1"/>
            </w:tcBorders>
            <w:shd w:val="clear" w:color="auto" w:fill="F2F2F2" w:themeFill="background1" w:themeFillShade="F2"/>
          </w:tcPr>
          <w:p w14:paraId="6AD80C6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-0.14      </w:t>
            </w:r>
            <w:r w:rsidRPr="006456A5">
              <w:rPr>
                <w:rFonts w:eastAsia="HGSMinchoE"/>
                <w:color w:val="000000" w:themeColor="text1"/>
                <w:sz w:val="20"/>
                <w:szCs w:val="20"/>
              </w:rPr>
              <w:t>(0.47)</w:t>
            </w:r>
          </w:p>
        </w:tc>
        <w:tc>
          <w:tcPr>
            <w:tcW w:w="1170" w:type="dxa"/>
            <w:tcBorders>
              <w:left w:val="single" w:sz="12" w:space="0" w:color="000000" w:themeColor="text1"/>
              <w:right w:val="single" w:sz="18" w:space="0" w:color="000000" w:themeColor="text1"/>
            </w:tcBorders>
            <w:shd w:val="clear" w:color="auto" w:fill="F2F2F2" w:themeFill="background1" w:themeFillShade="F2"/>
          </w:tcPr>
          <w:p w14:paraId="7D5FDB0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0.24  </w:t>
            </w:r>
            <w:r w:rsidRPr="006456A5">
              <w:rPr>
                <w:rFonts w:eastAsia="HGSMinchoE"/>
                <w:color w:val="000000" w:themeColor="text1"/>
                <w:sz w:val="20"/>
                <w:szCs w:val="20"/>
              </w:rPr>
              <w:t>(0.49)</w:t>
            </w:r>
          </w:p>
        </w:tc>
      </w:tr>
      <w:tr w:rsidR="00450A49" w:rsidRPr="001626B1" w14:paraId="04273510" w14:textId="77777777" w:rsidTr="00D74BE2">
        <w:tc>
          <w:tcPr>
            <w:tcW w:w="359" w:type="dxa"/>
            <w:vMerge/>
            <w:tcBorders>
              <w:left w:val="single" w:sz="18" w:space="0" w:color="000000" w:themeColor="text1"/>
              <w:right w:val="single" w:sz="18" w:space="0" w:color="000000" w:themeColor="text1"/>
            </w:tcBorders>
          </w:tcPr>
          <w:p w14:paraId="1697A0DF" w14:textId="77777777" w:rsidR="00450A49" w:rsidRPr="00395879" w:rsidRDefault="00450A49" w:rsidP="00D74BE2">
            <w:pPr>
              <w:pStyle w:val="NormalWeb"/>
              <w:jc w:val="center"/>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tcPr>
          <w:p w14:paraId="5203527E"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Num. seeds</w:t>
            </w:r>
          </w:p>
        </w:tc>
        <w:tc>
          <w:tcPr>
            <w:tcW w:w="1080" w:type="dxa"/>
            <w:tcBorders>
              <w:left w:val="single" w:sz="18" w:space="0" w:color="000000" w:themeColor="text1"/>
            </w:tcBorders>
          </w:tcPr>
          <w:p w14:paraId="6480908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3.89      </w:t>
            </w:r>
            <w:r w:rsidRPr="006456A5">
              <w:rPr>
                <w:rFonts w:eastAsia="HGSMinchoE"/>
                <w:color w:val="000000" w:themeColor="text1"/>
                <w:sz w:val="20"/>
                <w:szCs w:val="20"/>
              </w:rPr>
              <w:t>(&lt; 0.01)</w:t>
            </w:r>
          </w:p>
        </w:tc>
        <w:tc>
          <w:tcPr>
            <w:tcW w:w="990" w:type="dxa"/>
          </w:tcPr>
          <w:p w14:paraId="333656D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0.39  </w:t>
            </w:r>
            <w:r w:rsidRPr="006456A5">
              <w:rPr>
                <w:rFonts w:eastAsia="HGSMinchoE"/>
                <w:color w:val="000000" w:themeColor="text1"/>
                <w:sz w:val="20"/>
                <w:szCs w:val="20"/>
              </w:rPr>
              <w:t>(0.07)</w:t>
            </w:r>
          </w:p>
        </w:tc>
        <w:tc>
          <w:tcPr>
            <w:tcW w:w="990" w:type="dxa"/>
            <w:vAlign w:val="center"/>
          </w:tcPr>
          <w:p w14:paraId="46ADC22E"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Pr>
          <w:p w14:paraId="12FF3D4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0.0006 </w:t>
            </w:r>
            <w:r w:rsidRPr="006456A5">
              <w:rPr>
                <w:rFonts w:eastAsia="HGSMinchoE"/>
                <w:color w:val="000000" w:themeColor="text1"/>
                <w:sz w:val="20"/>
                <w:szCs w:val="20"/>
              </w:rPr>
              <w:t>(0.0002)</w:t>
            </w:r>
          </w:p>
        </w:tc>
        <w:tc>
          <w:tcPr>
            <w:tcW w:w="1170" w:type="dxa"/>
          </w:tcPr>
          <w:p w14:paraId="64DE62BF"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0.38         </w:t>
            </w:r>
            <w:r w:rsidRPr="006456A5">
              <w:rPr>
                <w:rFonts w:eastAsia="HGSMinchoE"/>
                <w:color w:val="000000" w:themeColor="text1"/>
                <w:sz w:val="20"/>
                <w:szCs w:val="20"/>
              </w:rPr>
              <w:t>(&lt; 0.01)</w:t>
            </w:r>
          </w:p>
        </w:tc>
        <w:tc>
          <w:tcPr>
            <w:tcW w:w="900" w:type="dxa"/>
            <w:tcBorders>
              <w:right w:val="single" w:sz="12" w:space="0" w:color="000000" w:themeColor="text1"/>
            </w:tcBorders>
          </w:tcPr>
          <w:p w14:paraId="427F1BB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0.83     </w:t>
            </w:r>
            <w:r w:rsidRPr="006456A5">
              <w:rPr>
                <w:rFonts w:eastAsia="HGSMinchoE"/>
                <w:color w:val="000000" w:themeColor="text1"/>
                <w:sz w:val="20"/>
                <w:szCs w:val="20"/>
              </w:rPr>
              <w:t>(&lt; 0.01)</w:t>
            </w:r>
          </w:p>
        </w:tc>
        <w:tc>
          <w:tcPr>
            <w:tcW w:w="1170" w:type="dxa"/>
            <w:tcBorders>
              <w:left w:val="single" w:sz="12" w:space="0" w:color="000000" w:themeColor="text1"/>
              <w:right w:val="single" w:sz="18" w:space="0" w:color="000000" w:themeColor="text1"/>
            </w:tcBorders>
          </w:tcPr>
          <w:p w14:paraId="21563B2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r>
      <w:tr w:rsidR="00450A49" w:rsidRPr="001626B1" w14:paraId="471BBCBF" w14:textId="77777777" w:rsidTr="00D74BE2">
        <w:tc>
          <w:tcPr>
            <w:tcW w:w="359" w:type="dxa"/>
            <w:vMerge/>
            <w:tcBorders>
              <w:left w:val="single" w:sz="18" w:space="0" w:color="000000" w:themeColor="text1"/>
              <w:bottom w:val="single" w:sz="18" w:space="0" w:color="000000" w:themeColor="text1"/>
              <w:right w:val="single" w:sz="18" w:space="0" w:color="000000" w:themeColor="text1"/>
            </w:tcBorders>
          </w:tcPr>
          <w:p w14:paraId="6F2B52A5" w14:textId="77777777" w:rsidR="00450A49" w:rsidRPr="00395879" w:rsidRDefault="00450A49" w:rsidP="00D74BE2">
            <w:pPr>
              <w:pStyle w:val="NormalWeb"/>
              <w:jc w:val="center"/>
              <w:rPr>
                <w:rFonts w:eastAsia="HGSMinchoE"/>
                <w:color w:val="000000" w:themeColor="text1"/>
                <w:sz w:val="22"/>
                <w:szCs w:val="22"/>
              </w:rPr>
            </w:pPr>
          </w:p>
        </w:tc>
        <w:tc>
          <w:tcPr>
            <w:tcW w:w="1256" w:type="dxa"/>
            <w:tcBorders>
              <w:left w:val="single" w:sz="18" w:space="0" w:color="000000" w:themeColor="text1"/>
              <w:bottom w:val="single" w:sz="18" w:space="0" w:color="000000" w:themeColor="text1"/>
              <w:right w:val="single" w:sz="18" w:space="0" w:color="000000" w:themeColor="text1"/>
            </w:tcBorders>
            <w:shd w:val="clear" w:color="auto" w:fill="F2F2F2" w:themeFill="background1" w:themeFillShade="F2"/>
          </w:tcPr>
          <w:p w14:paraId="6C0E67BE"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shd w:val="clear" w:color="auto" w:fill="F2F2F2" w:themeFill="background1" w:themeFillShade="F2"/>
          </w:tcPr>
          <w:p w14:paraId="7FAEE220"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0.23       </w:t>
            </w:r>
            <w:r w:rsidRPr="006456A5">
              <w:rPr>
                <w:rFonts w:eastAsia="HGSMinchoE"/>
                <w:color w:val="000000" w:themeColor="text1"/>
                <w:sz w:val="20"/>
                <w:szCs w:val="20"/>
              </w:rPr>
              <w:t>(&lt; 0.01)</w:t>
            </w:r>
          </w:p>
        </w:tc>
        <w:tc>
          <w:tcPr>
            <w:tcW w:w="990" w:type="dxa"/>
            <w:tcBorders>
              <w:bottom w:val="single" w:sz="18" w:space="0" w:color="000000" w:themeColor="text1"/>
            </w:tcBorders>
            <w:shd w:val="clear" w:color="auto" w:fill="F2F2F2" w:themeFill="background1" w:themeFillShade="F2"/>
            <w:vAlign w:val="center"/>
          </w:tcPr>
          <w:p w14:paraId="7325DA6F"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990" w:type="dxa"/>
            <w:tcBorders>
              <w:bottom w:val="single" w:sz="18" w:space="0" w:color="000000" w:themeColor="text1"/>
            </w:tcBorders>
            <w:shd w:val="clear" w:color="auto" w:fill="F2F2F2" w:themeFill="background1" w:themeFillShade="F2"/>
            <w:vAlign w:val="center"/>
          </w:tcPr>
          <w:p w14:paraId="0E39DB6C"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bottom w:val="single" w:sz="18" w:space="0" w:color="000000" w:themeColor="text1"/>
            </w:tcBorders>
            <w:shd w:val="clear" w:color="auto" w:fill="F2F2F2" w:themeFill="background1" w:themeFillShade="F2"/>
          </w:tcPr>
          <w:p w14:paraId="5CA384E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-7.57x10</w:t>
            </w:r>
            <w:r w:rsidRPr="006456A5">
              <w:rPr>
                <w:rFonts w:eastAsia="HGSMinchoE"/>
                <w:color w:val="000000" w:themeColor="text1"/>
                <w:sz w:val="22"/>
                <w:szCs w:val="22"/>
                <w:vertAlign w:val="superscript"/>
              </w:rPr>
              <w:t xml:space="preserve">-6 </w:t>
            </w:r>
            <w:r w:rsidRPr="006456A5">
              <w:rPr>
                <w:rFonts w:eastAsia="HGSMinchoE"/>
                <w:color w:val="000000" w:themeColor="text1"/>
                <w:sz w:val="20"/>
                <w:szCs w:val="20"/>
              </w:rPr>
              <w:t>(0.90)</w:t>
            </w:r>
          </w:p>
        </w:tc>
        <w:tc>
          <w:tcPr>
            <w:tcW w:w="1170" w:type="dxa"/>
            <w:tcBorders>
              <w:bottom w:val="single" w:sz="18" w:space="0" w:color="000000" w:themeColor="text1"/>
            </w:tcBorders>
            <w:shd w:val="clear" w:color="auto" w:fill="F2F2F2" w:themeFill="background1" w:themeFillShade="F2"/>
          </w:tcPr>
          <w:p w14:paraId="082E03AF"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-4.51x10</w:t>
            </w:r>
            <w:r w:rsidRPr="006456A5">
              <w:rPr>
                <w:rFonts w:eastAsia="HGSMinchoE"/>
                <w:color w:val="000000" w:themeColor="text1"/>
                <w:sz w:val="22"/>
                <w:szCs w:val="22"/>
                <w:vertAlign w:val="superscript"/>
              </w:rPr>
              <w:t xml:space="preserve">-3 </w:t>
            </w:r>
            <w:r w:rsidRPr="006456A5">
              <w:rPr>
                <w:rFonts w:eastAsia="HGSMinchoE"/>
                <w:color w:val="000000" w:themeColor="text1"/>
                <w:sz w:val="20"/>
                <w:szCs w:val="20"/>
              </w:rPr>
              <w:t>(0.80)</w:t>
            </w:r>
          </w:p>
        </w:tc>
        <w:tc>
          <w:tcPr>
            <w:tcW w:w="900" w:type="dxa"/>
            <w:tcBorders>
              <w:bottom w:val="single" w:sz="18" w:space="0" w:color="000000" w:themeColor="text1"/>
              <w:right w:val="single" w:sz="12" w:space="0" w:color="000000" w:themeColor="text1"/>
            </w:tcBorders>
            <w:shd w:val="clear" w:color="auto" w:fill="F2F2F2" w:themeFill="background1" w:themeFillShade="F2"/>
          </w:tcPr>
          <w:p w14:paraId="685016C8"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-0.002 </w:t>
            </w:r>
            <w:r w:rsidRPr="006456A5">
              <w:rPr>
                <w:rFonts w:eastAsia="HGSMinchoE"/>
                <w:color w:val="000000" w:themeColor="text1"/>
                <w:sz w:val="20"/>
                <w:szCs w:val="20"/>
              </w:rPr>
              <w:t>(0.45)</w:t>
            </w:r>
          </w:p>
        </w:tc>
        <w:tc>
          <w:tcPr>
            <w:tcW w:w="1170" w:type="dxa"/>
            <w:tcBorders>
              <w:left w:val="single" w:sz="12" w:space="0" w:color="000000" w:themeColor="text1"/>
              <w:bottom w:val="single" w:sz="18" w:space="0" w:color="000000" w:themeColor="text1"/>
              <w:right w:val="single" w:sz="18" w:space="0" w:color="000000" w:themeColor="text1"/>
            </w:tcBorders>
            <w:shd w:val="clear" w:color="auto" w:fill="F2F2F2" w:themeFill="background1" w:themeFillShade="F2"/>
          </w:tcPr>
          <w:p w14:paraId="6386D810"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r>
      <w:tr w:rsidR="00450A49" w:rsidRPr="001626B1" w14:paraId="32F80717" w14:textId="77777777" w:rsidTr="00D74BE2">
        <w:tc>
          <w:tcPr>
            <w:tcW w:w="359" w:type="dxa"/>
            <w:vMerge w:val="restart"/>
            <w:tcBorders>
              <w:top w:val="single" w:sz="18" w:space="0" w:color="000000" w:themeColor="text1"/>
              <w:left w:val="single" w:sz="18" w:space="0" w:color="000000" w:themeColor="text1"/>
              <w:right w:val="single" w:sz="18" w:space="0" w:color="000000" w:themeColor="text1"/>
            </w:tcBorders>
            <w:textDirection w:val="btLr"/>
          </w:tcPr>
          <w:p w14:paraId="0E24CA8D" w14:textId="77777777" w:rsidR="00450A49" w:rsidRPr="00395879" w:rsidRDefault="00450A49" w:rsidP="00D74BE2">
            <w:pPr>
              <w:pStyle w:val="NormalWeb"/>
              <w:ind w:left="113" w:right="113"/>
              <w:jc w:val="center"/>
              <w:rPr>
                <w:rFonts w:eastAsia="HGSMinchoE"/>
                <w:color w:val="000000" w:themeColor="text1"/>
                <w:sz w:val="22"/>
                <w:szCs w:val="22"/>
              </w:rPr>
            </w:pPr>
            <w:r w:rsidRPr="00395879">
              <w:rPr>
                <w:rFonts w:eastAsia="HGSMinchoE"/>
                <w:color w:val="000000" w:themeColor="text1"/>
                <w:sz w:val="22"/>
                <w:szCs w:val="22"/>
              </w:rPr>
              <w:t>FEWAFB</w:t>
            </w:r>
          </w:p>
        </w:tc>
        <w:tc>
          <w:tcPr>
            <w:tcW w:w="1256" w:type="dxa"/>
            <w:tcBorders>
              <w:top w:val="single" w:sz="18" w:space="0" w:color="000000" w:themeColor="text1"/>
              <w:left w:val="single" w:sz="18" w:space="0" w:color="000000" w:themeColor="text1"/>
              <w:right w:val="single" w:sz="18" w:space="0" w:color="000000" w:themeColor="text1"/>
            </w:tcBorders>
          </w:tcPr>
          <w:p w14:paraId="347B2A90"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tcPr>
          <w:p w14:paraId="741C97A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-1.07 </w:t>
            </w:r>
            <w:r w:rsidRPr="006456A5">
              <w:rPr>
                <w:rFonts w:eastAsia="HGSMinchoE"/>
                <w:color w:val="000000" w:themeColor="text1"/>
                <w:sz w:val="20"/>
                <w:szCs w:val="20"/>
              </w:rPr>
              <w:t>(0.08)</w:t>
            </w:r>
          </w:p>
        </w:tc>
        <w:tc>
          <w:tcPr>
            <w:tcW w:w="990" w:type="dxa"/>
            <w:tcBorders>
              <w:top w:val="single" w:sz="18" w:space="0" w:color="000000" w:themeColor="text1"/>
            </w:tcBorders>
          </w:tcPr>
          <w:p w14:paraId="07F2A42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0.27      </w:t>
            </w:r>
            <w:r w:rsidRPr="006456A5">
              <w:rPr>
                <w:rFonts w:eastAsia="HGSMinchoE"/>
                <w:color w:val="000000" w:themeColor="text1"/>
                <w:sz w:val="20"/>
                <w:szCs w:val="20"/>
              </w:rPr>
              <w:t>(&lt; 0.01)</w:t>
            </w:r>
          </w:p>
        </w:tc>
        <w:tc>
          <w:tcPr>
            <w:tcW w:w="990" w:type="dxa"/>
            <w:tcBorders>
              <w:top w:val="single" w:sz="18" w:space="0" w:color="000000" w:themeColor="text1"/>
            </w:tcBorders>
          </w:tcPr>
          <w:p w14:paraId="028F645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top w:val="single" w:sz="18" w:space="0" w:color="000000" w:themeColor="text1"/>
            </w:tcBorders>
          </w:tcPr>
          <w:p w14:paraId="520891E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0.005     </w:t>
            </w:r>
            <w:r>
              <w:rPr>
                <w:rFonts w:eastAsia="HGSMinchoE"/>
                <w:color w:val="000000" w:themeColor="text1"/>
                <w:sz w:val="22"/>
                <w:szCs w:val="22"/>
              </w:rPr>
              <w:t xml:space="preserve">   </w:t>
            </w:r>
            <w:r w:rsidRPr="006456A5">
              <w:rPr>
                <w:rFonts w:eastAsia="HGSMinchoE"/>
                <w:color w:val="000000" w:themeColor="text1"/>
                <w:sz w:val="22"/>
                <w:szCs w:val="22"/>
              </w:rPr>
              <w:t xml:space="preserve"> </w:t>
            </w:r>
            <w:r w:rsidRPr="006456A5">
              <w:rPr>
                <w:rFonts w:eastAsia="HGSMinchoE"/>
                <w:color w:val="000000" w:themeColor="text1"/>
                <w:sz w:val="20"/>
                <w:szCs w:val="20"/>
              </w:rPr>
              <w:t>(&lt; 0.01)</w:t>
            </w:r>
          </w:p>
        </w:tc>
        <w:tc>
          <w:tcPr>
            <w:tcW w:w="1170" w:type="dxa"/>
            <w:tcBorders>
              <w:top w:val="single" w:sz="18" w:space="0" w:color="000000" w:themeColor="text1"/>
            </w:tcBorders>
          </w:tcPr>
          <w:p w14:paraId="2DD31FC5"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0.20        </w:t>
            </w:r>
            <w:r w:rsidRPr="006456A5">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tcPr>
          <w:p w14:paraId="17769DE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top w:val="single" w:sz="18" w:space="0" w:color="000000" w:themeColor="text1"/>
              <w:left w:val="single" w:sz="12" w:space="0" w:color="000000" w:themeColor="text1"/>
              <w:right w:val="single" w:sz="18" w:space="0" w:color="000000" w:themeColor="text1"/>
            </w:tcBorders>
          </w:tcPr>
          <w:p w14:paraId="3C94C937"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1.07  </w:t>
            </w:r>
            <w:r w:rsidRPr="006456A5">
              <w:rPr>
                <w:rFonts w:eastAsia="HGSMinchoE"/>
                <w:color w:val="000000" w:themeColor="text1"/>
                <w:sz w:val="20"/>
                <w:szCs w:val="20"/>
              </w:rPr>
              <w:t>(1</w:t>
            </w:r>
            <w:r w:rsidRPr="006456A5">
              <w:rPr>
                <w:rFonts w:eastAsia="HGSMinchoE"/>
                <w:color w:val="000000" w:themeColor="text1"/>
                <w:sz w:val="22"/>
                <w:szCs w:val="22"/>
              </w:rPr>
              <w:t>.03)</w:t>
            </w:r>
          </w:p>
        </w:tc>
      </w:tr>
      <w:tr w:rsidR="00450A49" w:rsidRPr="001626B1" w14:paraId="65574C2F" w14:textId="77777777" w:rsidTr="00D74BE2">
        <w:tc>
          <w:tcPr>
            <w:tcW w:w="359" w:type="dxa"/>
            <w:vMerge/>
            <w:tcBorders>
              <w:left w:val="single" w:sz="18" w:space="0" w:color="000000" w:themeColor="text1"/>
              <w:right w:val="single" w:sz="18" w:space="0" w:color="000000" w:themeColor="text1"/>
            </w:tcBorders>
          </w:tcPr>
          <w:p w14:paraId="7034DB76" w14:textId="77777777" w:rsidR="00450A49" w:rsidRPr="00395879" w:rsidRDefault="00450A49" w:rsidP="00D74BE2">
            <w:pPr>
              <w:pStyle w:val="NormalWeb"/>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shd w:val="clear" w:color="auto" w:fill="F2F2F2" w:themeFill="background1" w:themeFillShade="F2"/>
          </w:tcPr>
          <w:p w14:paraId="36D44377" w14:textId="77777777" w:rsidR="00450A49" w:rsidRPr="006456A5" w:rsidRDefault="00450A49" w:rsidP="00D74BE2">
            <w:pPr>
              <w:pStyle w:val="NormalWeb"/>
              <w:rPr>
                <w:rFonts w:eastAsia="HGSMinchoE"/>
                <w:color w:val="000000" w:themeColor="text1"/>
                <w:sz w:val="22"/>
                <w:szCs w:val="22"/>
              </w:rPr>
            </w:pPr>
            <w:r>
              <w:rPr>
                <w:rFonts w:eastAsia="HGSMinchoE"/>
                <w:color w:val="000000" w:themeColor="text1"/>
                <w:sz w:val="22"/>
                <w:szCs w:val="22"/>
              </w:rPr>
              <w:t>ln(</w:t>
            </w:r>
            <w:r w:rsidRPr="006456A5">
              <w:rPr>
                <w:rFonts w:eastAsia="HGSMinchoE"/>
                <w:color w:val="000000" w:themeColor="text1"/>
                <w:sz w:val="22"/>
                <w:szCs w:val="22"/>
              </w:rPr>
              <w:t>size</w:t>
            </w:r>
            <w:r w:rsidRPr="006456A5">
              <w:rPr>
                <w:rFonts w:eastAsia="HGSMinchoE"/>
                <w:i/>
                <w:iCs/>
                <w:color w:val="000000" w:themeColor="text1"/>
                <w:sz w:val="22"/>
                <w:szCs w:val="22"/>
                <w:vertAlign w:val="subscript"/>
              </w:rPr>
              <w:t>t</w:t>
            </w:r>
            <w:r w:rsidRPr="006456A5">
              <w:rPr>
                <w:rFonts w:eastAsia="HGSMinchoE"/>
                <w:color w:val="000000" w:themeColor="text1"/>
                <w:sz w:val="22"/>
                <w:szCs w:val="22"/>
                <w:vertAlign w:val="subscript"/>
              </w:rPr>
              <w:t>+1</w:t>
            </w:r>
            <w:r w:rsidRPr="006456A5">
              <w:rPr>
                <w:rFonts w:eastAsia="HGSMinchoE"/>
                <w:color w:val="000000" w:themeColor="text1"/>
                <w:sz w:val="22"/>
                <w:szCs w:val="22"/>
              </w:rPr>
              <w:t>)</w:t>
            </w:r>
          </w:p>
        </w:tc>
        <w:tc>
          <w:tcPr>
            <w:tcW w:w="1080" w:type="dxa"/>
            <w:tcBorders>
              <w:left w:val="single" w:sz="18" w:space="0" w:color="000000" w:themeColor="text1"/>
            </w:tcBorders>
            <w:shd w:val="clear" w:color="auto" w:fill="F2F2F2" w:themeFill="background1" w:themeFillShade="F2"/>
          </w:tcPr>
          <w:p w14:paraId="082D00F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1.62 </w:t>
            </w:r>
            <w:r w:rsidRPr="006456A5">
              <w:rPr>
                <w:rFonts w:eastAsia="HGSMinchoE"/>
                <w:color w:val="000000" w:themeColor="text1"/>
                <w:sz w:val="20"/>
                <w:szCs w:val="20"/>
              </w:rPr>
              <w:t>(0.009)</w:t>
            </w:r>
          </w:p>
        </w:tc>
        <w:tc>
          <w:tcPr>
            <w:tcW w:w="990" w:type="dxa"/>
            <w:shd w:val="clear" w:color="auto" w:fill="F2F2F2" w:themeFill="background1" w:themeFillShade="F2"/>
          </w:tcPr>
          <w:p w14:paraId="418B3B0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0.19      </w:t>
            </w:r>
            <w:r w:rsidRPr="006456A5">
              <w:rPr>
                <w:rFonts w:eastAsia="HGSMinchoE"/>
                <w:color w:val="000000" w:themeColor="text1"/>
                <w:sz w:val="20"/>
                <w:szCs w:val="20"/>
              </w:rPr>
              <w:t>(&lt; 0.01)</w:t>
            </w:r>
          </w:p>
        </w:tc>
        <w:tc>
          <w:tcPr>
            <w:tcW w:w="990" w:type="dxa"/>
            <w:shd w:val="clear" w:color="auto" w:fill="F2F2F2" w:themeFill="background1" w:themeFillShade="F2"/>
          </w:tcPr>
          <w:p w14:paraId="15637A7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shd w:val="clear" w:color="auto" w:fill="F2F2F2" w:themeFill="background1" w:themeFillShade="F2"/>
          </w:tcPr>
          <w:p w14:paraId="245D1C2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5.08x10</w:t>
            </w:r>
            <w:r w:rsidRPr="006456A5">
              <w:rPr>
                <w:rFonts w:eastAsia="HGSMinchoE"/>
                <w:color w:val="000000" w:themeColor="text1"/>
                <w:sz w:val="22"/>
                <w:szCs w:val="22"/>
                <w:vertAlign w:val="superscript"/>
              </w:rPr>
              <w:t xml:space="preserve">-4  </w:t>
            </w:r>
            <w:r>
              <w:rPr>
                <w:rFonts w:eastAsia="HGSMinchoE"/>
                <w:color w:val="000000" w:themeColor="text1"/>
                <w:sz w:val="22"/>
                <w:szCs w:val="22"/>
                <w:vertAlign w:val="superscript"/>
              </w:rPr>
              <w:t xml:space="preserve">  </w:t>
            </w:r>
            <w:r w:rsidRPr="006456A5">
              <w:rPr>
                <w:rFonts w:eastAsia="HGSMinchoE"/>
                <w:color w:val="000000" w:themeColor="text1"/>
                <w:sz w:val="20"/>
                <w:szCs w:val="20"/>
              </w:rPr>
              <w:t>(&lt; 0.01)</w:t>
            </w:r>
          </w:p>
        </w:tc>
        <w:tc>
          <w:tcPr>
            <w:tcW w:w="1170" w:type="dxa"/>
            <w:shd w:val="clear" w:color="auto" w:fill="F2F2F2" w:themeFill="background1" w:themeFillShade="F2"/>
          </w:tcPr>
          <w:p w14:paraId="230E4C4E"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-0.02 </w:t>
            </w:r>
            <w:r w:rsidRPr="006456A5">
              <w:rPr>
                <w:rFonts w:eastAsia="HGSMinchoE"/>
                <w:color w:val="000000" w:themeColor="text1"/>
                <w:sz w:val="20"/>
                <w:szCs w:val="20"/>
              </w:rPr>
              <w:t>(0.14)</w:t>
            </w:r>
          </w:p>
        </w:tc>
        <w:tc>
          <w:tcPr>
            <w:tcW w:w="900" w:type="dxa"/>
            <w:tcBorders>
              <w:right w:val="single" w:sz="12" w:space="0" w:color="000000" w:themeColor="text1"/>
            </w:tcBorders>
            <w:shd w:val="clear" w:color="auto" w:fill="F2F2F2" w:themeFill="background1" w:themeFillShade="F2"/>
          </w:tcPr>
          <w:p w14:paraId="76920607"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left w:val="single" w:sz="12" w:space="0" w:color="000000" w:themeColor="text1"/>
              <w:right w:val="single" w:sz="18" w:space="0" w:color="000000" w:themeColor="text1"/>
            </w:tcBorders>
            <w:shd w:val="clear" w:color="auto" w:fill="F2F2F2" w:themeFill="background1" w:themeFillShade="F2"/>
          </w:tcPr>
          <w:p w14:paraId="5AFE3580"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0.09  </w:t>
            </w:r>
            <w:r w:rsidRPr="006456A5">
              <w:rPr>
                <w:rFonts w:eastAsia="HGSMinchoE"/>
                <w:color w:val="000000" w:themeColor="text1"/>
                <w:sz w:val="20"/>
                <w:szCs w:val="20"/>
              </w:rPr>
              <w:t>(0.30)</w:t>
            </w:r>
          </w:p>
        </w:tc>
      </w:tr>
      <w:tr w:rsidR="00450A49" w:rsidRPr="001626B1" w14:paraId="59A17B08" w14:textId="77777777" w:rsidTr="00D74BE2">
        <w:tc>
          <w:tcPr>
            <w:tcW w:w="359" w:type="dxa"/>
            <w:vMerge/>
            <w:tcBorders>
              <w:left w:val="single" w:sz="18" w:space="0" w:color="000000" w:themeColor="text1"/>
              <w:right w:val="single" w:sz="18" w:space="0" w:color="000000" w:themeColor="text1"/>
            </w:tcBorders>
          </w:tcPr>
          <w:p w14:paraId="61129B5C" w14:textId="77777777" w:rsidR="00450A49" w:rsidRPr="00395879" w:rsidRDefault="00450A49" w:rsidP="00D74BE2">
            <w:pPr>
              <w:pStyle w:val="NormalWeb"/>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tcPr>
          <w:p w14:paraId="21DF1508"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P(flower)</w:t>
            </w:r>
          </w:p>
        </w:tc>
        <w:tc>
          <w:tcPr>
            <w:tcW w:w="1080" w:type="dxa"/>
            <w:tcBorders>
              <w:left w:val="single" w:sz="18" w:space="0" w:color="000000" w:themeColor="text1"/>
            </w:tcBorders>
          </w:tcPr>
          <w:p w14:paraId="06368A0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-30.12   </w:t>
            </w:r>
            <w:r w:rsidRPr="006456A5">
              <w:rPr>
                <w:rFonts w:eastAsia="HGSMinchoE"/>
                <w:color w:val="000000" w:themeColor="text1"/>
                <w:sz w:val="20"/>
                <w:szCs w:val="20"/>
              </w:rPr>
              <w:t>(&lt; 0.01)</w:t>
            </w:r>
          </w:p>
        </w:tc>
        <w:tc>
          <w:tcPr>
            <w:tcW w:w="990" w:type="dxa"/>
          </w:tcPr>
          <w:p w14:paraId="755927BE"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27.38    </w:t>
            </w:r>
            <w:r w:rsidRPr="006456A5">
              <w:rPr>
                <w:rFonts w:eastAsia="HGSMinchoE"/>
                <w:color w:val="000000" w:themeColor="text1"/>
                <w:sz w:val="20"/>
                <w:szCs w:val="20"/>
              </w:rPr>
              <w:t>(&lt; 0.01)</w:t>
            </w:r>
          </w:p>
        </w:tc>
        <w:tc>
          <w:tcPr>
            <w:tcW w:w="990" w:type="dxa"/>
          </w:tcPr>
          <w:p w14:paraId="7856ACF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-5.88   </w:t>
            </w:r>
            <w:r>
              <w:rPr>
                <w:rFonts w:eastAsia="HGSMinchoE"/>
                <w:color w:val="000000" w:themeColor="text1"/>
                <w:sz w:val="22"/>
                <w:szCs w:val="22"/>
              </w:rPr>
              <w:t xml:space="preserve"> </w:t>
            </w:r>
            <w:r w:rsidRPr="006456A5">
              <w:rPr>
                <w:rFonts w:eastAsia="HGSMinchoE"/>
                <w:color w:val="000000" w:themeColor="text1"/>
                <w:sz w:val="22"/>
                <w:szCs w:val="22"/>
              </w:rPr>
              <w:t xml:space="preserve">   </w:t>
            </w:r>
            <w:r w:rsidRPr="006456A5">
              <w:rPr>
                <w:rFonts w:eastAsia="HGSMinchoE"/>
                <w:color w:val="000000" w:themeColor="text1"/>
                <w:sz w:val="20"/>
                <w:szCs w:val="20"/>
              </w:rPr>
              <w:t>(&lt; 0.01)</w:t>
            </w:r>
          </w:p>
        </w:tc>
        <w:tc>
          <w:tcPr>
            <w:tcW w:w="1170" w:type="dxa"/>
          </w:tcPr>
          <w:p w14:paraId="3037679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3.95x10</w:t>
            </w:r>
            <w:r w:rsidRPr="006456A5">
              <w:rPr>
                <w:rFonts w:eastAsia="HGSMinchoE"/>
                <w:color w:val="000000" w:themeColor="text1"/>
                <w:sz w:val="22"/>
                <w:szCs w:val="22"/>
                <w:vertAlign w:val="superscript"/>
              </w:rPr>
              <w:t xml:space="preserve">-4  </w:t>
            </w:r>
            <w:r w:rsidRPr="006456A5">
              <w:rPr>
                <w:rFonts w:eastAsia="HGSMinchoE"/>
                <w:color w:val="000000" w:themeColor="text1"/>
                <w:sz w:val="20"/>
                <w:szCs w:val="20"/>
              </w:rPr>
              <w:t>(0.45)</w:t>
            </w:r>
          </w:p>
        </w:tc>
        <w:tc>
          <w:tcPr>
            <w:tcW w:w="1170" w:type="dxa"/>
          </w:tcPr>
          <w:p w14:paraId="588EB5B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0.11   </w:t>
            </w:r>
            <w:r w:rsidRPr="006456A5">
              <w:rPr>
                <w:rFonts w:eastAsia="HGSMinchoE"/>
                <w:color w:val="000000" w:themeColor="text1"/>
                <w:sz w:val="20"/>
                <w:szCs w:val="20"/>
              </w:rPr>
              <w:t>(0.09)</w:t>
            </w:r>
          </w:p>
        </w:tc>
        <w:tc>
          <w:tcPr>
            <w:tcW w:w="900" w:type="dxa"/>
            <w:tcBorders>
              <w:right w:val="single" w:sz="12" w:space="0" w:color="000000" w:themeColor="text1"/>
            </w:tcBorders>
          </w:tcPr>
          <w:p w14:paraId="75DD4853"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0.22 </w:t>
            </w:r>
            <w:r w:rsidRPr="006456A5">
              <w:rPr>
                <w:rFonts w:eastAsia="HGSMinchoE"/>
                <w:color w:val="000000" w:themeColor="text1"/>
                <w:sz w:val="20"/>
                <w:szCs w:val="20"/>
              </w:rPr>
              <w:t>(0.0001)</w:t>
            </w:r>
          </w:p>
        </w:tc>
        <w:tc>
          <w:tcPr>
            <w:tcW w:w="1170" w:type="dxa"/>
            <w:tcBorders>
              <w:left w:val="single" w:sz="12" w:space="0" w:color="000000" w:themeColor="text1"/>
              <w:right w:val="single" w:sz="18" w:space="0" w:color="000000" w:themeColor="text1"/>
            </w:tcBorders>
          </w:tcPr>
          <w:p w14:paraId="452C901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0.07  </w:t>
            </w:r>
            <w:r w:rsidRPr="006456A5">
              <w:rPr>
                <w:rFonts w:eastAsia="HGSMinchoE"/>
                <w:color w:val="000000" w:themeColor="text1"/>
                <w:sz w:val="20"/>
                <w:szCs w:val="20"/>
              </w:rPr>
              <w:t>(0.26)</w:t>
            </w:r>
          </w:p>
        </w:tc>
      </w:tr>
      <w:tr w:rsidR="00450A49" w:rsidRPr="001626B1" w14:paraId="3E611484" w14:textId="77777777" w:rsidTr="00D74BE2">
        <w:tc>
          <w:tcPr>
            <w:tcW w:w="359" w:type="dxa"/>
            <w:vMerge/>
            <w:tcBorders>
              <w:left w:val="single" w:sz="18" w:space="0" w:color="000000" w:themeColor="text1"/>
              <w:right w:val="single" w:sz="18" w:space="0" w:color="000000" w:themeColor="text1"/>
            </w:tcBorders>
          </w:tcPr>
          <w:p w14:paraId="22F9BB39" w14:textId="77777777" w:rsidR="00450A49" w:rsidRPr="00395879" w:rsidRDefault="00450A49" w:rsidP="00D74BE2">
            <w:pPr>
              <w:pStyle w:val="NormalWeb"/>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shd w:val="clear" w:color="auto" w:fill="F2F2F2" w:themeFill="background1" w:themeFillShade="F2"/>
          </w:tcPr>
          <w:p w14:paraId="619040F6"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Num. seeds</w:t>
            </w:r>
          </w:p>
        </w:tc>
        <w:tc>
          <w:tcPr>
            <w:tcW w:w="1080" w:type="dxa"/>
            <w:tcBorders>
              <w:left w:val="single" w:sz="18" w:space="0" w:color="000000" w:themeColor="text1"/>
            </w:tcBorders>
            <w:shd w:val="clear" w:color="auto" w:fill="F2F2F2" w:themeFill="background1" w:themeFillShade="F2"/>
          </w:tcPr>
          <w:p w14:paraId="7619139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3.13      </w:t>
            </w:r>
            <w:r w:rsidRPr="006456A5">
              <w:rPr>
                <w:rFonts w:eastAsia="HGSMinchoE"/>
                <w:color w:val="000000" w:themeColor="text1"/>
                <w:sz w:val="20"/>
                <w:szCs w:val="20"/>
              </w:rPr>
              <w:t>(&lt; 0.01)</w:t>
            </w:r>
          </w:p>
        </w:tc>
        <w:tc>
          <w:tcPr>
            <w:tcW w:w="990" w:type="dxa"/>
            <w:shd w:val="clear" w:color="auto" w:fill="F2F2F2" w:themeFill="background1" w:themeFillShade="F2"/>
          </w:tcPr>
          <w:p w14:paraId="3B11ECE9"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0.90      </w:t>
            </w:r>
            <w:r w:rsidRPr="006456A5">
              <w:rPr>
                <w:rFonts w:eastAsia="HGSMinchoE"/>
                <w:color w:val="000000" w:themeColor="text1"/>
                <w:sz w:val="20"/>
                <w:szCs w:val="20"/>
              </w:rPr>
              <w:t>(&lt; 0.01)</w:t>
            </w:r>
          </w:p>
        </w:tc>
        <w:tc>
          <w:tcPr>
            <w:tcW w:w="990" w:type="dxa"/>
            <w:shd w:val="clear" w:color="auto" w:fill="F2F2F2" w:themeFill="background1" w:themeFillShade="F2"/>
          </w:tcPr>
          <w:p w14:paraId="39BA8B20"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 </w:t>
            </w:r>
          </w:p>
        </w:tc>
        <w:tc>
          <w:tcPr>
            <w:tcW w:w="1170" w:type="dxa"/>
            <w:shd w:val="clear" w:color="auto" w:fill="F2F2F2" w:themeFill="background1" w:themeFillShade="F2"/>
          </w:tcPr>
          <w:p w14:paraId="4478145B"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-0.0001 </w:t>
            </w:r>
            <w:r w:rsidRPr="006456A5">
              <w:rPr>
                <w:rFonts w:eastAsia="HGSMinchoE"/>
                <w:color w:val="000000" w:themeColor="text1"/>
                <w:sz w:val="20"/>
                <w:szCs w:val="20"/>
              </w:rPr>
              <w:t>(0.56)</w:t>
            </w:r>
          </w:p>
        </w:tc>
        <w:tc>
          <w:tcPr>
            <w:tcW w:w="1170" w:type="dxa"/>
            <w:shd w:val="clear" w:color="auto" w:fill="F2F2F2" w:themeFill="background1" w:themeFillShade="F2"/>
          </w:tcPr>
          <w:p w14:paraId="4DB1B6B5"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0.11 </w:t>
            </w:r>
            <w:r w:rsidRPr="006456A5">
              <w:rPr>
                <w:rFonts w:eastAsia="HGSMinchoE"/>
                <w:color w:val="000000" w:themeColor="text1"/>
                <w:sz w:val="20"/>
                <w:szCs w:val="20"/>
              </w:rPr>
              <w:t>(0.008)</w:t>
            </w:r>
          </w:p>
        </w:tc>
        <w:tc>
          <w:tcPr>
            <w:tcW w:w="900" w:type="dxa"/>
            <w:tcBorders>
              <w:right w:val="single" w:sz="12" w:space="0" w:color="000000" w:themeColor="text1"/>
            </w:tcBorders>
            <w:shd w:val="clear" w:color="auto" w:fill="F2F2F2" w:themeFill="background1" w:themeFillShade="F2"/>
          </w:tcPr>
          <w:p w14:paraId="35BB1AD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0.11 </w:t>
            </w:r>
            <w:r w:rsidRPr="006456A5">
              <w:rPr>
                <w:rFonts w:eastAsia="HGSMinchoE"/>
                <w:color w:val="000000" w:themeColor="text1"/>
                <w:sz w:val="20"/>
                <w:szCs w:val="20"/>
              </w:rPr>
              <w:t>(0.0008)</w:t>
            </w:r>
          </w:p>
        </w:tc>
        <w:tc>
          <w:tcPr>
            <w:tcW w:w="1170" w:type="dxa"/>
            <w:tcBorders>
              <w:left w:val="single" w:sz="12" w:space="0" w:color="000000" w:themeColor="text1"/>
              <w:right w:val="single" w:sz="18" w:space="0" w:color="000000" w:themeColor="text1"/>
            </w:tcBorders>
            <w:shd w:val="clear" w:color="auto" w:fill="F2F2F2" w:themeFill="background1" w:themeFillShade="F2"/>
          </w:tcPr>
          <w:p w14:paraId="66008E5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 </w:t>
            </w:r>
          </w:p>
        </w:tc>
      </w:tr>
      <w:tr w:rsidR="00450A49" w:rsidRPr="001626B1" w14:paraId="5608D4B1" w14:textId="77777777" w:rsidTr="00D74BE2">
        <w:trPr>
          <w:trHeight w:hRule="exact" w:val="577"/>
        </w:trPr>
        <w:tc>
          <w:tcPr>
            <w:tcW w:w="359" w:type="dxa"/>
            <w:vMerge/>
            <w:tcBorders>
              <w:left w:val="single" w:sz="18" w:space="0" w:color="000000" w:themeColor="text1"/>
              <w:bottom w:val="single" w:sz="18" w:space="0" w:color="000000" w:themeColor="text1"/>
              <w:right w:val="single" w:sz="18" w:space="0" w:color="000000" w:themeColor="text1"/>
            </w:tcBorders>
          </w:tcPr>
          <w:p w14:paraId="2D5CEA4A" w14:textId="77777777" w:rsidR="00450A49" w:rsidRPr="00395879" w:rsidRDefault="00450A49" w:rsidP="00D74BE2">
            <w:pPr>
              <w:pStyle w:val="NormalWeb"/>
              <w:rPr>
                <w:rFonts w:eastAsia="HGSMinchoE"/>
                <w:color w:val="000000" w:themeColor="text1"/>
                <w:sz w:val="22"/>
                <w:szCs w:val="22"/>
              </w:rPr>
            </w:pPr>
          </w:p>
        </w:tc>
        <w:tc>
          <w:tcPr>
            <w:tcW w:w="1256" w:type="dxa"/>
            <w:tcBorders>
              <w:left w:val="single" w:sz="18" w:space="0" w:color="000000" w:themeColor="text1"/>
              <w:bottom w:val="single" w:sz="18" w:space="0" w:color="000000" w:themeColor="text1"/>
              <w:right w:val="single" w:sz="18" w:space="0" w:color="000000" w:themeColor="text1"/>
            </w:tcBorders>
          </w:tcPr>
          <w:p w14:paraId="6094E6A8"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tcPr>
          <w:p w14:paraId="4B61A9B3"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0.19      </w:t>
            </w:r>
            <w:r w:rsidRPr="006456A5">
              <w:rPr>
                <w:rFonts w:eastAsia="HGSMinchoE"/>
                <w:color w:val="000000" w:themeColor="text1"/>
                <w:sz w:val="20"/>
                <w:szCs w:val="20"/>
              </w:rPr>
              <w:t>(&lt; 0.02)</w:t>
            </w:r>
          </w:p>
        </w:tc>
        <w:tc>
          <w:tcPr>
            <w:tcW w:w="990" w:type="dxa"/>
            <w:tcBorders>
              <w:bottom w:val="single" w:sz="18" w:space="0" w:color="000000" w:themeColor="text1"/>
            </w:tcBorders>
          </w:tcPr>
          <w:p w14:paraId="7CB81CB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990" w:type="dxa"/>
            <w:tcBorders>
              <w:bottom w:val="single" w:sz="18" w:space="0" w:color="000000" w:themeColor="text1"/>
            </w:tcBorders>
          </w:tcPr>
          <w:p w14:paraId="3E33109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bottom w:val="single" w:sz="18" w:space="0" w:color="000000" w:themeColor="text1"/>
            </w:tcBorders>
          </w:tcPr>
          <w:p w14:paraId="480F746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-1.22x10</w:t>
            </w:r>
            <w:r w:rsidRPr="006456A5">
              <w:rPr>
                <w:rFonts w:eastAsia="HGSMinchoE"/>
                <w:color w:val="000000" w:themeColor="text1"/>
                <w:sz w:val="22"/>
                <w:szCs w:val="22"/>
                <w:vertAlign w:val="superscript"/>
              </w:rPr>
              <w:t xml:space="preserve">-5  </w:t>
            </w:r>
            <w:r w:rsidRPr="006456A5">
              <w:rPr>
                <w:rFonts w:eastAsia="HGSMinchoE"/>
                <w:color w:val="000000" w:themeColor="text1"/>
                <w:sz w:val="20"/>
                <w:szCs w:val="20"/>
              </w:rPr>
              <w:t>(0.89)</w:t>
            </w:r>
          </w:p>
        </w:tc>
        <w:tc>
          <w:tcPr>
            <w:tcW w:w="1170" w:type="dxa"/>
            <w:tcBorders>
              <w:bottom w:val="single" w:sz="18" w:space="0" w:color="000000" w:themeColor="text1"/>
            </w:tcBorders>
          </w:tcPr>
          <w:p w14:paraId="13F1523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0.03    </w:t>
            </w:r>
            <w:r w:rsidRPr="006456A5">
              <w:rPr>
                <w:rFonts w:eastAsia="HGSMinchoE"/>
                <w:color w:val="000000" w:themeColor="text1"/>
                <w:sz w:val="20"/>
                <w:szCs w:val="20"/>
              </w:rPr>
              <w:t>(0.10)</w:t>
            </w:r>
          </w:p>
        </w:tc>
        <w:tc>
          <w:tcPr>
            <w:tcW w:w="900" w:type="dxa"/>
            <w:tcBorders>
              <w:bottom w:val="single" w:sz="18" w:space="0" w:color="000000" w:themeColor="text1"/>
              <w:right w:val="single" w:sz="12" w:space="0" w:color="000000" w:themeColor="text1"/>
            </w:tcBorders>
          </w:tcPr>
          <w:p w14:paraId="2BEB9D5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-0.006 </w:t>
            </w:r>
            <w:r w:rsidRPr="006456A5">
              <w:rPr>
                <w:rFonts w:eastAsia="HGSMinchoE"/>
                <w:color w:val="000000" w:themeColor="text1"/>
                <w:sz w:val="20"/>
                <w:szCs w:val="20"/>
              </w:rPr>
              <w:t>(0.68)</w:t>
            </w:r>
            <w:r w:rsidRPr="006456A5">
              <w:rPr>
                <w:rFonts w:eastAsia="HGSMinchoE"/>
                <w:color w:val="000000" w:themeColor="text1"/>
                <w:sz w:val="22"/>
                <w:szCs w:val="22"/>
              </w:rPr>
              <w:t xml:space="preserve"> </w:t>
            </w:r>
          </w:p>
        </w:tc>
        <w:tc>
          <w:tcPr>
            <w:tcW w:w="1170" w:type="dxa"/>
            <w:tcBorders>
              <w:left w:val="single" w:sz="12" w:space="0" w:color="000000" w:themeColor="text1"/>
              <w:bottom w:val="single" w:sz="18" w:space="0" w:color="000000" w:themeColor="text1"/>
              <w:right w:val="single" w:sz="18" w:space="0" w:color="000000" w:themeColor="text1"/>
            </w:tcBorders>
          </w:tcPr>
          <w:p w14:paraId="08FFBD2B"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r>
    </w:tbl>
    <w:p w14:paraId="2BD45B60" w14:textId="77777777" w:rsidR="00450A49" w:rsidRPr="001626B1" w:rsidRDefault="00450A49" w:rsidP="00450A49">
      <w:pPr>
        <w:pStyle w:val="Heading2"/>
        <w:spacing w:line="480" w:lineRule="auto"/>
        <w:rPr>
          <w:rFonts w:ascii="Times New Roman" w:hAnsi="Times New Roman" w:cs="Times New Roman"/>
          <w:b w:val="0"/>
          <w:bCs w:val="0"/>
          <w:color w:val="000000" w:themeColor="text1"/>
          <w:sz w:val="24"/>
          <w:szCs w:val="24"/>
        </w:rPr>
      </w:pPr>
      <w:bookmarkStart w:id="45" w:name="_Toc101229642"/>
      <w:bookmarkStart w:id="46" w:name="_Toc101544577"/>
      <w:r w:rsidRPr="001626B1">
        <w:rPr>
          <w:rFonts w:ascii="Times New Roman" w:hAnsi="Times New Roman" w:cs="Times New Roman"/>
          <w:color w:val="000000" w:themeColor="text1"/>
          <w:sz w:val="24"/>
          <w:szCs w:val="24"/>
        </w:rPr>
        <w:t>Discussion</w:t>
      </w:r>
      <w:bookmarkEnd w:id="45"/>
      <w:bookmarkEnd w:id="46"/>
    </w:p>
    <w:p w14:paraId="0CC239E2" w14:textId="77777777" w:rsidR="00450A49" w:rsidRPr="001626B1" w:rsidRDefault="00450A49" w:rsidP="00450A49">
      <w:pPr>
        <w:spacing w:line="480" w:lineRule="auto"/>
        <w:rPr>
          <w:rFonts w:ascii="Times New Roman" w:eastAsia="Times New Roman" w:hAnsi="Times New Roman" w:cs="Times New Roman"/>
          <w:color w:val="000000" w:themeColor="text1"/>
        </w:rPr>
      </w:pPr>
      <w:r w:rsidRPr="001626B1">
        <w:rPr>
          <w:rFonts w:ascii="Times New Roman" w:eastAsia="Times New Roman" w:hAnsi="Times New Roman" w:cs="Times New Roman"/>
          <w:color w:val="000000" w:themeColor="text1"/>
        </w:rPr>
        <w:tab/>
        <w:t xml:space="preserve">Our demographic analysis of the two largest known populations of the globally rare </w:t>
      </w:r>
      <w:r w:rsidRPr="001626B1">
        <w:rPr>
          <w:rFonts w:ascii="Times New Roman" w:eastAsia="Times New Roman" w:hAnsi="Times New Roman" w:cs="Times New Roman"/>
          <w:i/>
          <w:iCs/>
          <w:color w:val="000000" w:themeColor="text1"/>
        </w:rPr>
        <w:t>Oenothera coloradensis</w:t>
      </w:r>
      <w:r w:rsidRPr="001626B1">
        <w:rPr>
          <w:rFonts w:ascii="Times New Roman" w:eastAsia="Times New Roman" w:hAnsi="Times New Roman" w:cs="Times New Roman"/>
          <w:color w:val="000000" w:themeColor="text1"/>
        </w:rPr>
        <w:t xml:space="preserve"> evaluated the importance of seedbanks to population dynamics, identified the demographic mechanisms that allow this rare species to persist, and determined the likelihood of these populations persisting into the future. First, we found that including information about cryptic life stages alters the outcomes of the population model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models","type":"article-journal","volume":"126"},"uris":["http://www.mendeley.com/documents/?uuid=43ed3b29-94b8-4286-8d6a-e2b7763b671f"]},{"id":"ITEM-2","itemData":{"DOI":"10.1016/j.ecolmodel.2019.108723","ISSN":"03043800","abstract":"Information on individuals from all stages of life is crucial to explore their ecology, evolution and conservation biology. However, the life cycles of many species contain cryptic life stages that are difficult to detect and track over time and are therefore omitted from demographic models. One example is the dormant seed bank, an evolutionary bet-hedging mechanism that buffers plant populations in variable environments. To evaluate this methodological oversight, we conduct simulations to explore the effect of seed bank parameter uncertainties on demographic outputs such as the deterministic (λ1) and stochastic population growth rate (λS), and extinction probabilities of 12 plant species. We have used uninformed and informed priors for seed bank parameters based on literature estimates, and reconstructed published models in which the seed bank was excluded without justification. Trials on removing the seed stage from models (6 species) explored the worst-case scenario for ignoring the seed bank. Inclusion of a seed bank and demographic uncertainty in seed bank parameters have little impact on stable populations (λ1 ≈ 1) with high post-seedling survival. When populations deviate from stability or demonstrate temporal demographic variation, greater changes in λ1 and the range of possible growth rates caused by demographic uncertainty are observed. As expected, decreasing populations (λ1 &lt; 1) benefit from the inclusion of a seed bank through increases in the growth rate and extinction times, whereas increasing populations (λ1 &gt; 1) are slowed down. While germination estimates from the literature cannot accurately reflect those obtained in the field, they provide a starting point to assess the relative importance of a seed bank. The exclusion of the seed bank must be justified by confirming that dormancy is either non-existent or not important. Accounting for cryptic stages in demographic models will produce better informed management decisions for threatened or invasive species.","author":[{"dropping-particle":"","family":"Nguyen","given":"Vuong","non-dropping-particle":"","parse-names":false,"suffix":""},{"dropping-particle":"","family":"Buckley","given":"Yvonne M.","non-dropping-particle":"","parse-names":false,"suffix":""},{"dropping-particle":"","family":"Salguero-Gómez","given":"Roberto","non-dropping-particle":"","parse-names":false,"suffix":""},{"dropping-particle":"","family":"Wardle","given":"Glenda M.","non-dropping-particle":"","parse-names":false,"suffix":""}],"container-title":"Ecological Modelling","id":"ITEM-2","issue":"June","issued":{"date-parts":[["2019"]]},"title":"Consequences of neglecting cryptic life stages from demographic models","type":"article-journal","volume":"408"},"uris":["http://www.mendeley.com/documents/?uuid=f0b13044-6923-4f88-ad25-b8cd0271b9b4"]}],"mendeley":{"formattedCitation":"(Paniw et al. 2017, Nguyen et al. 2019)","plainTextFormattedCitation":"(Paniw et al. 2017, Nguyen et al. 2019)","previouslyFormattedCitation":"(Paniw et al. 2017, Nguyen et al.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(Paniw et al. 2017, Nguyen et al. 2019)</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w:t>
      </w:r>
      <w:r w:rsidRPr="001626B1">
        <w:rPr>
          <w:rFonts w:ascii="Times New Roman" w:eastAsia="Times New Roman" w:hAnsi="Times New Roman" w:cs="Times New Roman"/>
          <w:i/>
          <w:iCs/>
          <w:color w:val="000000" w:themeColor="text1"/>
        </w:rPr>
        <w:t>O. coloradensis</w:t>
      </w:r>
      <w:r w:rsidRPr="001626B1">
        <w:rPr>
          <w:rFonts w:ascii="Times New Roman" w:eastAsia="Times New Roman" w:hAnsi="Times New Roman" w:cs="Times New Roman"/>
          <w:color w:val="000000" w:themeColor="text1"/>
        </w:rPr>
        <w:t xml:space="preserve"> populations show signs of negative density-dependence at the subpopulation scale (Table 4; Fig. 5). However, these populations do not show </w:t>
      </w:r>
      <w:r w:rsidRPr="001626B1">
        <w:rPr>
          <w:rFonts w:ascii="Times New Roman" w:eastAsia="Times New Roman" w:hAnsi="Times New Roman" w:cs="Times New Roman"/>
          <w:color w:val="000000" w:themeColor="text1"/>
        </w:rPr>
        <w:lastRenderedPageBreak/>
        <w:t xml:space="preserve">substantial evidence of demographic compensation, vital rate buffering, spatial asynchrony, or fine-scale source-sink dynamics. This may indicate that while these mechanisms may be important for the persistence of many small populations of rare plants, they are not strictly necessary in all cases. Third, we found that these populations are likely to persist in the short term, substantiating the 2019 decision to remove this species from the Endangered Species List. However, the potential negative effects of climate warming emphasize the importance of continued habitat protection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{"citationItems":[{"id":"ITEM-1","itemData":{"author":[{"dropping-particle":"","family":"Everson","given":"Margaret E","non-dropping-particle":"","parse-names":false,"suffix":""}],"container-title":"Federal Register: The Daily Journal of the United States","id":"ITEM-1","issue":"214","issued":{"date-parts":[["2019"]]},"page":"59570-59588","title":"Endangered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Plants","type":"article-journal","volume":"84"},"uris":["http://www.mendeley.com/documents/?uuid=276c0e49-951d-42c8-9236-8953e9ac06a0"]}],"mendeley":{"formattedCitation":"(Everson 2019)","plainTextFormattedCitation":"(Everson 2019)","previouslyFormattedCitation":"(Everson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(Everson 2019)</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w:t>
      </w:r>
    </w:p>
    <w:p w14:paraId="12335BEF" w14:textId="77777777"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Times New Roman" w:hAnsi="Times New Roman" w:cs="Times New Roman"/>
          <w:color w:val="000000" w:themeColor="text1"/>
        </w:rPr>
        <w:t xml:space="preserve">Including a discrete seedbank state in an IPM decreased the asymptotic population growth rate compared to an IPM with only a continuous, size-based state, although both growth rates were still positive (Table 2: with seedbank: IPM “B”, </w:t>
      </w:r>
      <w:r w:rsidRPr="001626B1">
        <w:rPr>
          <w:rFonts w:ascii="Times New Roman" w:eastAsia="HGSMinchoE" w:hAnsi="Times New Roman" w:cs="Times New Roman"/>
          <w:color w:val="000000" w:themeColor="text1"/>
        </w:rPr>
        <w:t>l</w:t>
      </w:r>
      <w:r>
        <w:rPr>
          <w:rFonts w:ascii="Times New Roman" w:eastAsia="HGSMinchoE" w:hAnsi="Times New Roman" w:cs="Times New Roman"/>
          <w:color w:val="000000" w:themeColor="text1"/>
        </w:rPr>
        <w:t>n</w:t>
      </w:r>
      <w:r w:rsidRPr="001626B1">
        <w:rPr>
          <w:rFonts w:ascii="Times New Roman" w:eastAsia="HGSMinchoE" w:hAnsi="Times New Roman" w:cs="Times New Roman"/>
          <w:color w:val="000000" w:themeColor="text1"/>
        </w:rPr>
        <w:t>(λ) = 0.39</w:t>
      </w:r>
      <w:r w:rsidRPr="001626B1">
        <w:rPr>
          <w:rFonts w:ascii="Times New Roman" w:eastAsia="Times New Roman" w:hAnsi="Times New Roman" w:cs="Times New Roman"/>
          <w:color w:val="000000" w:themeColor="text1"/>
        </w:rPr>
        <w:t>; without seedbank: IPM “A”, l</w:t>
      </w:r>
      <w:r>
        <w:rPr>
          <w:rFonts w:ascii="Times New Roman" w:eastAsia="Times New Roman" w:hAnsi="Times New Roman" w:cs="Times New Roman"/>
          <w:color w:val="000000" w:themeColor="text1"/>
        </w:rPr>
        <w:t>n</w:t>
      </w:r>
      <w:r w:rsidRPr="001626B1">
        <w:rPr>
          <w:rFonts w:ascii="Times New Roman" w:eastAsia="Times New Roman" w:hAnsi="Times New Roman" w:cs="Times New Roman"/>
          <w:color w:val="000000" w:themeColor="text1"/>
        </w:rPr>
        <w:t>(</w:t>
      </w:r>
      <w:r w:rsidRPr="001626B1">
        <w:rPr>
          <w:rFonts w:ascii="Times New Roman" w:eastAsia="HGSMinchoE" w:hAnsi="Times New Roman" w:cs="Times New Roman"/>
          <w:color w:val="000000" w:themeColor="text1"/>
        </w:rPr>
        <w:t>λ</w:t>
      </w:r>
      <w:r w:rsidRPr="001626B1">
        <w:rPr>
          <w:rFonts w:ascii="Times New Roman" w:eastAsia="Times New Roman" w:hAnsi="Times New Roman" w:cs="Times New Roman"/>
          <w:color w:val="000000" w:themeColor="text1"/>
        </w:rPr>
        <w:t>) = 0.41). The importance of the including the seedbank in the model aligned with our expectations, although it was surprising that including the seed bank decreased l</w:t>
      </w:r>
      <w:r>
        <w:rPr>
          <w:rFonts w:ascii="Times New Roman" w:eastAsia="Times New Roman" w:hAnsi="Times New Roman" w:cs="Times New Roman"/>
          <w:color w:val="000000" w:themeColor="text1"/>
        </w:rPr>
        <w:t>n</w:t>
      </w:r>
      <w:r w:rsidRPr="001626B1">
        <w:rPr>
          <w:rFonts w:ascii="Times New Roman" w:eastAsia="Times New Roman" w:hAnsi="Times New Roman" w:cs="Times New Roman"/>
          <w:color w:val="000000" w:themeColor="text1"/>
        </w:rPr>
        <w:t>(</w:t>
      </w:r>
      <w:r w:rsidRPr="001626B1">
        <w:rPr>
          <w:rFonts w:ascii="Times New Roman" w:eastAsia="HGSMinchoE" w:hAnsi="Times New Roman" w:cs="Times New Roman"/>
          <w:color w:val="000000" w:themeColor="text1"/>
        </w:rPr>
        <w:t xml:space="preserve">λ) because seedbanks are thought of as buffers against stochastic causes of population decline. This could be related to the fact that seedbank vital rate parameters were inferred from laboratory tests of germination and viability rates, which may not be good representations of </w:t>
      </w:r>
      <w:r w:rsidRPr="001626B1">
        <w:rPr>
          <w:rFonts w:ascii="Times New Roman" w:eastAsia="HGSMinchoE" w:hAnsi="Times New Roman" w:cs="Times New Roman"/>
          <w:i/>
          <w:iCs/>
          <w:color w:val="000000" w:themeColor="text1"/>
        </w:rPr>
        <w:t>in situ</w:t>
      </w:r>
      <w:r w:rsidRPr="001626B1">
        <w:rPr>
          <w:rFonts w:ascii="Times New Roman" w:eastAsia="HGSMinchoE" w:hAnsi="Times New Roman" w:cs="Times New Roman"/>
          <w:color w:val="000000" w:themeColor="text1"/>
        </w:rPr>
        <w:t xml:space="preserve"> rates of viability and germination. The annual rate of seed death (10%) was inferred from an </w:t>
      </w:r>
      <w:r w:rsidRPr="001626B1">
        <w:rPr>
          <w:rFonts w:ascii="Times New Roman" w:eastAsia="HGSMinchoE" w:hAnsi="Times New Roman" w:cs="Times New Roman"/>
          <w:i/>
          <w:iCs/>
          <w:color w:val="000000" w:themeColor="text1"/>
        </w:rPr>
        <w:t xml:space="preserve">in-situ </w:t>
      </w:r>
      <w:r w:rsidRPr="001626B1">
        <w:rPr>
          <w:rFonts w:ascii="Times New Roman" w:eastAsia="HGSMinchoE" w:hAnsi="Times New Roman" w:cs="Times New Roman"/>
          <w:color w:val="000000" w:themeColor="text1"/>
        </w:rPr>
        <w:t xml:space="preserve">study, but is imprecise because of low sample size. These discrete rates for the probability of persisting and transitioning out of the seedbank have high elasticity, but not the highest elasticity of any vital rate in the IPM (Fig. 4C), which means that imprecision in these vital rate estimates would not drastically impact predictions made from the IPM. The rate at which seeds produced by adult plants in year </w:t>
      </w:r>
      <w:proofErr w:type="spellStart"/>
      <w:r w:rsidRPr="001626B1">
        <w:rPr>
          <w:rFonts w:ascii="Times New Roman" w:eastAsia="HGSMinchoE" w:hAnsi="Times New Roman" w:cs="Times New Roman"/>
          <w:i/>
          <w:iCs/>
          <w:color w:val="000000" w:themeColor="text1"/>
        </w:rPr>
        <w:t>t</w:t>
      </w:r>
      <w:proofErr w:type="spellEnd"/>
      <w:r w:rsidRPr="001626B1">
        <w:rPr>
          <w:rFonts w:ascii="Times New Roman" w:eastAsia="HGSMinchoE" w:hAnsi="Times New Roman" w:cs="Times New Roman"/>
          <w:color w:val="000000" w:themeColor="text1"/>
        </w:rPr>
        <w:t xml:space="preserve"> go into the seedbank in year </w:t>
      </w:r>
      <w:r w:rsidRPr="001626B1">
        <w:rPr>
          <w:rFonts w:ascii="Times New Roman" w:eastAsia="HGSMinchoE" w:hAnsi="Times New Roman" w:cs="Times New Roman"/>
          <w:i/>
          <w:iCs/>
          <w:color w:val="000000" w:themeColor="text1"/>
        </w:rPr>
        <w:t>t</w:t>
      </w:r>
      <w:r w:rsidRPr="001626B1">
        <w:rPr>
          <w:rFonts w:ascii="Times New Roman" w:eastAsia="HGSMinchoE" w:hAnsi="Times New Roman" w:cs="Times New Roman"/>
          <w:color w:val="000000" w:themeColor="text1"/>
        </w:rPr>
        <w:t xml:space="preserve">+1 is the vital rate function with highest elasticity; however, we have higher confidence in the accuracy of this vital rate because it was based on field-collected data. Previous matrix population models of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without a </w:t>
      </w:r>
      <w:r w:rsidRPr="001626B1">
        <w:rPr>
          <w:rFonts w:ascii="Times New Roman" w:eastAsia="HGSMinchoE" w:hAnsi="Times New Roman" w:cs="Times New Roman"/>
          <w:color w:val="000000" w:themeColor="text1"/>
        </w:rPr>
        <w:lastRenderedPageBreak/>
        <w:t xml:space="preserve">seedbank state that were constructed in the 1990s identified the emergence rate of new seedlings as the vital rate most important for determining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w:t>
      </w:r>
      <w:r w:rsidRPr="001626B1">
        <w:rPr>
          <w:rFonts w:ascii="Times New Roman" w:eastAsia="HGSMinchoE" w:hAnsi="Times New Roman" w:cs="Times New Roman"/>
          <w:color w:val="000000" w:themeColor="text1"/>
        </w:rPr>
        <w:fldChar w:fldCharType="begin" w:fldLock="1"/>
      </w:r>
      <w:r w:rsidRPr="001626B1">
        <w:rPr>
          <w:rFonts w:ascii="Times New Roman" w:eastAsia="HGSMinchoE"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(Floyd and Ranker 1998)</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Our finding that seedbank state transitions are important for this species aligns with this previous result, since rate of seedling emergence is the above-ground plant vital rate that is closest to the seedbank in this plant’s life cycle. The seedbank can be an important element of a perennial plant’s lifecycle, and if possible, should be modeled explicitly based on </w:t>
      </w:r>
      <w:r w:rsidRPr="001626B1">
        <w:rPr>
          <w:rFonts w:ascii="Times New Roman" w:eastAsia="HGSMinchoE" w:hAnsi="Times New Roman" w:cs="Times New Roman"/>
          <w:i/>
          <w:iCs/>
          <w:color w:val="000000" w:themeColor="text1"/>
        </w:rPr>
        <w:t>in situ</w:t>
      </w:r>
      <w:r w:rsidRPr="001626B1">
        <w:rPr>
          <w:rFonts w:ascii="Times New Roman" w:eastAsia="HGSMinchoE" w:hAnsi="Times New Roman" w:cs="Times New Roman"/>
          <w:color w:val="000000" w:themeColor="text1"/>
        </w:rPr>
        <w:t xml:space="preserve"> estimates of the probability of seeds going into, persisting in, and emerging from the seedbank.     </w:t>
      </w:r>
    </w:p>
    <w:p w14:paraId="575AA894" w14:textId="4853D5E4"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We found evidence that, of the five proposed demographic mechanisms of small population persistence, negative density dependence was the only one acting in these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populations. Including population size in the previous year as a covariate in vital rate models typically improved model fit, suggesting that density dependence is an important driver of growth, survival, and reproduction (Table 4). Within a single subpopulation, population growth rate and the ratio of population size in year </w:t>
      </w:r>
      <w:r w:rsidRPr="001626B1">
        <w:rPr>
          <w:rFonts w:ascii="Times New Roman" w:eastAsia="HGSMinchoE" w:hAnsi="Times New Roman" w:cs="Times New Roman"/>
          <w:i/>
          <w:iCs/>
          <w:color w:val="000000" w:themeColor="text1"/>
        </w:rPr>
        <w:t xml:space="preserve">t+1 </w:t>
      </w:r>
      <w:r w:rsidRPr="001626B1">
        <w:rPr>
          <w:rFonts w:ascii="Times New Roman" w:eastAsia="HGSMinchoE" w:hAnsi="Times New Roman" w:cs="Times New Roman"/>
          <w:color w:val="000000" w:themeColor="text1"/>
        </w:rPr>
        <w:t xml:space="preserve">to year </w:t>
      </w:r>
      <w:r w:rsidRPr="001626B1">
        <w:rPr>
          <w:rFonts w:ascii="Times New Roman" w:eastAsia="HGSMinchoE" w:hAnsi="Times New Roman" w:cs="Times New Roman"/>
          <w:i/>
          <w:iCs/>
          <w:color w:val="000000" w:themeColor="text1"/>
        </w:rPr>
        <w:t>t</w:t>
      </w:r>
      <w:r w:rsidRPr="001626B1">
        <w:rPr>
          <w:rFonts w:ascii="Times New Roman" w:eastAsia="HGSMinchoE" w:hAnsi="Times New Roman" w:cs="Times New Roman"/>
          <w:color w:val="000000" w:themeColor="text1"/>
        </w:rPr>
        <w:t xml:space="preserve"> was generally higher when population size in year </w:t>
      </w:r>
      <w:r w:rsidRPr="001626B1">
        <w:rPr>
          <w:rFonts w:ascii="Times New Roman" w:eastAsia="HGSMinchoE" w:hAnsi="Times New Roman" w:cs="Times New Roman"/>
          <w:i/>
          <w:iCs/>
          <w:color w:val="000000" w:themeColor="text1"/>
        </w:rPr>
        <w:t>t</w:t>
      </w:r>
      <w:r w:rsidRPr="001626B1">
        <w:rPr>
          <w:rFonts w:ascii="Times New Roman" w:eastAsia="HGSMinchoE" w:hAnsi="Times New Roman" w:cs="Times New Roman"/>
          <w:color w:val="000000" w:themeColor="text1"/>
        </w:rPr>
        <w:t xml:space="preserve"> was smaller (Fig. 5), which indicates that negative density dependence prevents subpopulations from crashing when their population size is very small.  However, this pattern of higher growth rate at low population sizes did not exist when considering all subpopulations together (Fig. 5). This could indicate that each subpopulation is close to its carrying capacity for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This may indicate that the number of individuals is close to carrying capacity in each subpopulation, and that growth rate increases when the population size in a given subpopulation is small in comparison to its subpopulation-specific carrying capacity. </w:t>
      </w:r>
      <w:r w:rsidRPr="001626B1">
        <w:rPr>
          <w:rFonts w:ascii="Times New Roman" w:eastAsia="HGSMinchoE" w:hAnsi="Times New Roman" w:cs="Times New Roman"/>
          <w:i/>
          <w:iCs/>
          <w:color w:val="000000" w:themeColor="text1"/>
        </w:rPr>
        <w:t xml:space="preserve">O. coloradensis </w:t>
      </w:r>
      <w:r w:rsidRPr="001626B1">
        <w:rPr>
          <w:rFonts w:ascii="Times New Roman" w:eastAsia="HGSMinchoE" w:hAnsi="Times New Roman" w:cs="Times New Roman"/>
          <w:color w:val="000000" w:themeColor="text1"/>
        </w:rPr>
        <w:t xml:space="preserve">vital rates had correlated responses to variation in the abiotic environment (Table 5), which is the inverse of what is expected if demographic buffering is taking place. It is possible that a signal of demographic buffering would appear if we considered </w:t>
      </w:r>
      <w:r w:rsidRPr="001626B1">
        <w:rPr>
          <w:rFonts w:ascii="Times New Roman" w:eastAsia="HGSMinchoE" w:hAnsi="Times New Roman" w:cs="Times New Roman"/>
          <w:color w:val="000000" w:themeColor="text1"/>
        </w:rPr>
        <w:lastRenderedPageBreak/>
        <w:t xml:space="preserve">different abiotic variables </w:t>
      </w:r>
      <w:r w:rsidR="001603B3">
        <w:rPr>
          <w:rFonts w:ascii="Times New Roman" w:eastAsia="HGSMinchoE" w:hAnsi="Times New Roman" w:cs="Times New Roman"/>
          <w:color w:val="000000" w:themeColor="text1"/>
        </w:rPr>
        <w:t xml:space="preserve">such as disturbance frequency, </w:t>
      </w:r>
      <w:r w:rsidRPr="001626B1">
        <w:rPr>
          <w:rFonts w:ascii="Times New Roman" w:eastAsia="HGSMinchoE" w:hAnsi="Times New Roman" w:cs="Times New Roman"/>
          <w:color w:val="000000" w:themeColor="text1"/>
        </w:rPr>
        <w:t xml:space="preserve">or had more data. Vital rate buffering also was not identified, even when we simulated variation in discrete seedbank vital rate parameters across the entire set of possible values (from 0 to 1). Vital rates with higher QCD  did not have a significantly higher or lower impact on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in comparison to less variable vital rates (Fig. 6), which would prevent vital rate buffering from stabilizing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after abiotic or demographic perturbation. The evidence for spatial asynchrony and fine-scale source-sink dynamics was also not strong. Mantel tests did not identify a significant relationship between the correlation of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between subpopulations and their spatial proximity, but did identify non-significant relationships between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correlation and proximity. However, this relationship was positive in Soapstone prairie subpopulations and negative in FEWAFB subpopulations, which provides inconsistent support for these mechanisms. </w:t>
      </w:r>
    </w:p>
    <w:p w14:paraId="4C021DEA" w14:textId="77777777"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It is somewhat surprising that negative density dependence is the only mechanism of small population persistence that has significant support in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populations, since multiple mechanisms have been identified in other rare species </w:t>
      </w:r>
      <w:r w:rsidRPr="001626B1">
        <w:rPr>
          <w:rFonts w:ascii="Times New Roman" w:eastAsia="HGSMinchoE" w:hAnsi="Times New Roman" w:cs="Times New Roman"/>
          <w:color w:val="000000" w:themeColor="text1"/>
        </w:rPr>
        <w:fldChar w:fldCharType="begin" w:fldLock="1"/>
      </w:r>
      <w:r w:rsidRPr="001626B1">
        <w:rPr>
          <w:rFonts w:ascii="Times New Roman" w:eastAsia="HGSMinchoE" w:hAnsi="Times New Roman" w:cs="Times New Roman"/>
          <w:color w:val="000000" w:themeColor="text1"/>
        </w:rPr>
        <w:instrText>ADDIN CSL_CITATION {"citationItems":[{"id":"ITEM-1","itemData":{"DOI":"10.1002/ecm.1360","ISSN":"15577015","abstract":"The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Monographs","id":"ITEM-1","issue":"2","issued":{"date-parts":[["2019"]]},"page":"1-16","title":"Multiple mechanisms confer stability to isolated populations of a rare endemic plant","type":"article-journal","volume":"89"},"uris":["http://www.mendeley.com/documents/?uuid=657bb168-36a6-49a5-9886-9859d9fb8c3c"]}],"mendeley":{"formattedCitation":"(Dibner et al. 2019)","plainTextFormattedCitation":"(Dibner et al. 2019)","previouslyFormattedCitation":"(Dibner et al. 2019)"},"properties":{"noteIndex":0},"schema":"https://github.com/citation-style-language/schema/raw/master/csl-citation.json"}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(Dibner et al. 2019)</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It is possible that support for one or more of these persistence mechanisms could emerge if more information about abiotic variation across space and time and data from more annual transitions was available for analysis. One potential explanation is that, while this species is a globally rare endemic with isolated subpopulations, it often grows at high local density. This strategy, which Rabinowitz describes as </w:t>
      </w:r>
      <w:r w:rsidRPr="001626B1">
        <w:rPr>
          <w:rFonts w:ascii="Calibri" w:eastAsia="HGSMinchoE" w:hAnsi="Calibri" w:cs="Calibri"/>
          <w:color w:val="000000" w:themeColor="text1"/>
        </w:rPr>
        <w:t>﻿“</w:t>
      </w:r>
      <w:r w:rsidRPr="001626B1">
        <w:rPr>
          <w:rFonts w:ascii="Times New Roman" w:eastAsia="HGSMinchoE" w:hAnsi="Times New Roman" w:cs="Times New Roman"/>
          <w:color w:val="000000" w:themeColor="text1"/>
        </w:rPr>
        <w:t xml:space="preserve">locally abundant in a specific habitat but restricted geographically,” may allow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to bypass the problems that small populations typically face, such as genetic and demographic bottlenecks that make them susceptible to stochastic environmental variation </w:t>
      </w:r>
      <w:r w:rsidRPr="001626B1">
        <w:rPr>
          <w:rFonts w:ascii="Times New Roman" w:eastAsia="HGSMinchoE" w:hAnsi="Times New Roman" w:cs="Times New Roman"/>
          <w:color w:val="000000" w:themeColor="text1"/>
        </w:rPr>
        <w:fldChar w:fldCharType="begin" w:fldLock="1"/>
      </w:r>
      <w:r w:rsidRPr="001626B1">
        <w:rPr>
          <w:rFonts w:ascii="Times New Roman" w:eastAsia="HGSMinchoE" w:hAnsi="Times New Roman" w:cs="Times New Roman"/>
          <w:color w:val="000000" w:themeColor="text1"/>
        </w:rPr>
        <w:instrText>ADDIN CSL_CITATION {"citationItems":[{"id":"ITEM-1","itemData":{"DOI":"10.2307/4110060","ISSN":"00755974","abstract":"There are many ways in which a species can become rare and this path has profound evolutionary and ecological consequences. A theoretical framework of an eight-celled table is proposed for the different types of rarity depending on range, habitat specificity and local abundance. Seven forms of rarity are discussed with examples from the North American flora. in particular that of the narrow endemic. Studies of the competitive abilities of sparse and common prairie grasses provide insights into the biological nature of rarity and show that competitive abilities are more critical to persistence than to the regulation of abundance. Natural selection may operate to favor traits which offset the disadvantages of local small population size. We reach conclusions that are both unexpected and relevant to practical conservation philosophies.","author":[{"dropping-particle":"","family":"Rabinowitz","given":"Deborah","non-dropping-particle":"","parse-names":false,"suffix":""}],"container-title":"The Biological aspects of rare plant conservation","editor":[{"dropping-particle":"","family":"Synge","given":"Hugh","non-dropping-particle":"","parse-names":false,"suffix":""}],"id":"ITEM-1","issued":{"date-parts":[["1981"]]},"publisher":"John WIley &amp; Sons, Ltd.","title":"Seven forms of rarity","type":"chapter"},"uris":["http://www.mendeley.com/documents/?uuid=eec430e5-41a7-4237-b24a-a3569090d028"]}],"mendeley":{"formattedCitation":"(Rabinowitz 1981)","plainTextFormattedCitation":"(Rabinowitz 1981)","previouslyFormattedCitation":"(Rabinowitz 1981)"},"properties":{"noteIndex":0},"schema":"https://github.com/citation-style-language/schema/raw/master/csl-citation.json"}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(Rabinowitz 1981)</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It has also been shown that rare species are more likely than common species to benefit from facilitative interspecific interactions </w:t>
      </w:r>
      <w:r w:rsidRPr="001626B1">
        <w:rPr>
          <w:rFonts w:ascii="Times New Roman" w:eastAsia="HGSMinchoE" w:hAnsi="Times New Roman" w:cs="Times New Roman"/>
          <w:color w:val="000000" w:themeColor="text1"/>
        </w:rPr>
        <w:fldChar w:fldCharType="begin" w:fldLock="1"/>
      </w:r>
      <w:r w:rsidRPr="001626B1">
        <w:rPr>
          <w:rFonts w:ascii="Times New Roman" w:eastAsia="HGSMinchoE" w:hAnsi="Times New Roman" w:cs="Times New Roman"/>
          <w:color w:val="000000" w:themeColor="text1"/>
        </w:rPr>
        <w:instrText>ADDIN CSL_CITATION {"citationItems":[{"id":"ITEM-1","itemData":{"DOI":"10.1038/s41559-019-1053-5","ISSN":"2397334X","PMID":"31844189","abstract":"According to the competitive exclusion principle, species with low competitive abilities should be excluded by more efficient competitors; yet, they generally remain as rare species. Here, we describe the positive and negative spatial association networks of 326 disparate assemblages, showing a general organization pattern that simultaneously supports the primacy of competition and the persistence of rare species. Abundant species monopolize negative associations in about 90% of the assemblages. On the other hand, rare species are mostly involved in positive associations, forming small network modules. Simulations suggest that positive interactions among rare species and microhabitat preferences are the most probable mechanisms underpinning this pattern and rare species persistence. The consistent results across taxa and geography suggest a general explanation for the maintenance of biodiversity in competitive environments.","author":[{"dropping-particle":"","family":"Calatayud","given":"Joaquín","non-dropping-particle":"","parse-names":false,"suffix":""},{"dropping-particle":"","family":"Andivia","given":"Enrique","non-dropping-particle":"","parse-names":false,"suffix":""},{"dropping-particle":"","family":"Escudero","given":"Adrián","non-dropping-particle":"","parse-names":false,"suffix":""},{"dropping-particle":"","family":"Melián","given":"Carlos J.","non-dropping-particle":"","parse-names":false,"suffix":""},{"dropping-particle":"","family":"Bernardo-Madrid","given":"Rubén","non-dropping-particle":"","parse-names":false,"suffix":""},{"dropping-particle":"","family":"Stoffel","given":"Markus","non-dropping-particle":"","parse-names":false,"suffix":""},{"dropping-particle":"","family":"Aponte","given":"Cristina","non-dropping-particle":"","parse-names":false,"suffix":""},{"dropping-particle":"","family":"Medina","given":"Nagore G.","non-dropping-particle":"","parse-names":false,"suffix":""},{"dropping-particle":"","family":"Molina-Venegas","given":"Rafael","non-dropping-particle":"","parse-names":false,"suffix":""},{"dropping-particle":"","family":"Arnan","given":"Xavier","non-dropping-particle":"","parse-names":false,"suffix":""},{"dropping-particle":"","family":"Rosvall","given":"Martin","non-dropping-particle":"","parse-names":false,"suffix":""},{"dropping-particle":"","family":"Neuman","given":"Magnus","non-dropping-particle":"","parse-names":false,"suffix":""},{"dropping-particle":"","family":"Noriega","given":"Jorge Ari","non-dropping-particle":"","parse-names":false,"suffix":""},{"dropping-particle":"","family":"Alves-Martins","given":"Fernanda","non-dropping-particle":"","parse-names":false,"suffix":""},{"dropping-particle":"","family":"Draper","given":"Isabel","non-dropping-particle":"","parse-names":false,"suffix":""},{"dropping-particle":"","family":"Luzuriaga","given":"Arantzazu","non-dropping-particle":"","parse-names":false,"suffix":""},{"dropping-particle":"","family":"Ballesteros-Cánovas","given":"Juan Antonio","non-dropping-particle":"","parse-names":false,"suffix":""},{"dropping-particle":"","family":"Morales-Molino","given":"César","non-dropping-particle":"","parse-names":false,"suffix":""},{"dropping-particle":"","family":"Ferrandis","given":"Pablo","non-dropping-particle":"","parse-names":false,"suffix":""},{"dropping-particle":"","family":"Herrero","given":"Asier","non-dropping-particle":"","parse-names":false,"suffix":""},{"dropping-particle":"","family":"Pataro","given":"Luciano","non-dropping-particle":"","parse-names":false,"suffix":""},{"dropping-particle":"","family":"Juen","given":"Leandro","non-dropping-particle":"","parse-names":false,"suffix":""},{"dropping-particle":"","family":"Cea","given":"Alex","non-dropping-particle":"","parse-names":false,"suffix":""},{"dropping-particle":"","family":"Madrigal-González","given":"Jaime","non-dropping-particle":"","parse-names":false,"suffix":""}],"container-title":"Nature Ecology and Evolution","id":"ITEM-1","issue":"1","issued":{"date-parts":[["2020"]]},"page":"40-45","publisher":"Springer US","title":"Positive associations among rare species and their persistence in ecological assemblages","type":"article-journal","volume":"4"},"uris":["http://www.mendeley.com/documents/?uuid=38b8eb12-13a4-4535-a48c-bae5808beea0"]}],"mendeley":{"formattedCitation":"(Calatayud et al. 2020)","plainTextFormattedCitation":"(Calatayud et al. 2020)","previouslyFormattedCitation":"(Calatayud et al. 2020)"},"properties":{"noteIndex":0},"schema":"https://github.com/citation-style-language/schema/raw/master/csl-citation.json"}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(Calatayud et al. 2020)</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w:t>
      </w:r>
      <w:r w:rsidRPr="001626B1">
        <w:rPr>
          <w:rFonts w:ascii="Times New Roman" w:eastAsia="HGSMinchoE" w:hAnsi="Times New Roman" w:cs="Times New Roman"/>
          <w:i/>
          <w:iCs/>
          <w:color w:val="000000" w:themeColor="text1"/>
        </w:rPr>
        <w:t xml:space="preserve">O. </w:t>
      </w:r>
      <w:r w:rsidRPr="001626B1">
        <w:rPr>
          <w:rFonts w:ascii="Times New Roman" w:eastAsia="HGSMinchoE" w:hAnsi="Times New Roman" w:cs="Times New Roman"/>
          <w:i/>
          <w:iCs/>
          <w:color w:val="000000" w:themeColor="text1"/>
        </w:rPr>
        <w:lastRenderedPageBreak/>
        <w:t>coloradensis</w:t>
      </w:r>
      <w:r w:rsidRPr="001626B1">
        <w:rPr>
          <w:rFonts w:ascii="Times New Roman" w:eastAsia="HGSMinchoE" w:hAnsi="Times New Roman" w:cs="Times New Roman"/>
          <w:color w:val="000000" w:themeColor="text1"/>
        </w:rPr>
        <w:t xml:space="preserve"> may participate in facilitative interactions with other species that increase its probability of persistence, although determining this will require further, community-level analysis. Our results imply that not all rare species can be treated equally. While demographic strategies that help maintain persistence may be effective for some species, other species may employ different strategies. This further emphasizes the importance of carefully considering the specific population and its community dynamics when managing and conserving rare species. </w:t>
      </w:r>
    </w:p>
    <w:p w14:paraId="08428648" w14:textId="77777777"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Finally, our simulations of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populations at FEWAFB and Soapstone prairie indicated that these populations are likely to persist, at least in the next few decades. Both populations were predicted to increase in size over the next 20-30 years even with density dependence in the models (Fig. 7</w:t>
      </w:r>
      <w:r w:rsidRPr="001626B1">
        <w:rPr>
          <w:rFonts w:ascii="Times New Roman" w:eastAsia="HGSMinchoE" w:hAnsi="Times New Roman" w:cs="Times New Roman"/>
          <w:b/>
          <w:bCs/>
          <w:color w:val="000000" w:themeColor="text1"/>
        </w:rPr>
        <w:t>A</w:t>
      </w:r>
      <w:r w:rsidRPr="001626B1">
        <w:rPr>
          <w:rFonts w:ascii="Times New Roman" w:eastAsia="HGSMinchoE" w:hAnsi="Times New Roman" w:cs="Times New Roman"/>
          <w:color w:val="000000" w:themeColor="text1"/>
        </w:rPr>
        <w:t xml:space="preserve"> and </w:t>
      </w:r>
      <w:r w:rsidRPr="001626B1">
        <w:rPr>
          <w:rFonts w:ascii="Times New Roman" w:eastAsia="HGSMinchoE" w:hAnsi="Times New Roman" w:cs="Times New Roman"/>
          <w:b/>
          <w:bCs/>
          <w:color w:val="000000" w:themeColor="text1"/>
        </w:rPr>
        <w:t>B</w:t>
      </w:r>
      <w:r w:rsidRPr="001626B1">
        <w:rPr>
          <w:rFonts w:ascii="Times New Roman" w:eastAsia="HGSMinchoE" w:hAnsi="Times New Roman" w:cs="Times New Roman"/>
          <w:color w:val="000000" w:themeColor="text1"/>
        </w:rPr>
        <w:t xml:space="preserve">). While our simulations predicted that the Soapstone prairie population will stabilize by the end of the 100-year simulation interval, they also predicted that after approximately 30 years, the FEWAFB population will be begin a decline that continues to the end of the simulation interval. However, the rate of decline diminished toward the end of the 100-year period, when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(λ) values started to become less negative (Fig. 7A). Average stochastic growth rate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proofErr w:type="spellStart"/>
      <w:r w:rsidRPr="001626B1">
        <w:rPr>
          <w:rFonts w:ascii="Times New Roman" w:eastAsia="HGSMinchoE" w:hAnsi="Times New Roman" w:cs="Times New Roman"/>
          <w:color w:val="000000" w:themeColor="text1"/>
        </w:rPr>
        <w:t>λ</w:t>
      </w:r>
      <w:r w:rsidRPr="001626B1">
        <w:rPr>
          <w:rFonts w:ascii="Times New Roman" w:eastAsia="HGSMinchoE" w:hAnsi="Times New Roman" w:cs="Times New Roman"/>
          <w:color w:val="000000" w:themeColor="text1"/>
          <w:vertAlign w:val="subscript"/>
        </w:rPr>
        <w:t>s</w:t>
      </w:r>
      <w:proofErr w:type="spellEnd"/>
      <w:r w:rsidRPr="001626B1">
        <w:rPr>
          <w:rFonts w:ascii="Times New Roman" w:eastAsia="HGSMinchoE" w:hAnsi="Times New Roman" w:cs="Times New Roman"/>
          <w:color w:val="000000" w:themeColor="text1"/>
        </w:rPr>
        <w:t xml:space="preserve">)) was smaller for the Soapstone population, even though this population didn’t decrease in size over the course of the simulation while the FEWAFB population did (Fig. 7C). This is explained by very high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in the initial years of simulated growth in the FEWAFB population, which increases the mean of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(or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proofErr w:type="spellStart"/>
      <w:r w:rsidRPr="001626B1">
        <w:rPr>
          <w:rFonts w:ascii="Times New Roman" w:eastAsia="HGSMinchoE" w:hAnsi="Times New Roman" w:cs="Times New Roman"/>
          <w:color w:val="000000" w:themeColor="text1"/>
        </w:rPr>
        <w:t>λ</w:t>
      </w:r>
      <w:r w:rsidRPr="001626B1">
        <w:rPr>
          <w:rFonts w:ascii="Times New Roman" w:eastAsia="HGSMinchoE" w:hAnsi="Times New Roman" w:cs="Times New Roman"/>
          <w:color w:val="000000" w:themeColor="text1"/>
          <w:vertAlign w:val="subscript"/>
        </w:rPr>
        <w:t>s</w:t>
      </w:r>
      <w:proofErr w:type="spellEnd"/>
      <w:r w:rsidRPr="001626B1">
        <w:rPr>
          <w:rFonts w:ascii="Times New Roman" w:eastAsia="HGSMinchoE" w:hAnsi="Times New Roman" w:cs="Times New Roman"/>
          <w:color w:val="000000" w:themeColor="text1"/>
        </w:rPr>
        <w:t xml:space="preserve">)). While these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proofErr w:type="spellStart"/>
      <w:r w:rsidRPr="001626B1">
        <w:rPr>
          <w:rFonts w:ascii="Times New Roman" w:eastAsia="HGSMinchoE" w:hAnsi="Times New Roman" w:cs="Times New Roman"/>
          <w:color w:val="000000" w:themeColor="text1"/>
        </w:rPr>
        <w:t>λ</w:t>
      </w:r>
      <w:r w:rsidRPr="001626B1">
        <w:rPr>
          <w:rFonts w:ascii="Times New Roman" w:eastAsia="HGSMinchoE" w:hAnsi="Times New Roman" w:cs="Times New Roman"/>
          <w:color w:val="000000" w:themeColor="text1"/>
          <w:vertAlign w:val="subscript"/>
        </w:rPr>
        <w:t>s</w:t>
      </w:r>
      <w:proofErr w:type="spellEnd"/>
      <w:r w:rsidRPr="001626B1">
        <w:rPr>
          <w:rFonts w:ascii="Times New Roman" w:eastAsia="HGSMinchoE" w:hAnsi="Times New Roman" w:cs="Times New Roman"/>
          <w:color w:val="000000" w:themeColor="text1"/>
        </w:rPr>
        <w:t xml:space="preserve">) values are useful in that they indicate persistence rather than extirpation, they should not be used alone as an indicator of population status, since they do not capture the substantial variation in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and population size that occurs on shorter timescales. </w:t>
      </w:r>
    </w:p>
    <w:p w14:paraId="7B263DB0" w14:textId="77777777"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Simulations additionally showed that the FEWAFB and Soapstone prairie populations might respond differently to the warmer and drier climate conditions that are predicted to occur </w:t>
      </w:r>
      <w:r w:rsidRPr="001626B1">
        <w:rPr>
          <w:rFonts w:ascii="Times New Roman" w:eastAsia="HGSMinchoE" w:hAnsi="Times New Roman" w:cs="Times New Roman"/>
          <w:color w:val="000000" w:themeColor="text1"/>
        </w:rPr>
        <w:lastRenderedPageBreak/>
        <w:t xml:space="preserve">with climate change. Mean simulated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in the FEWAFB population was not significantly impacted by climate, while hotter and drier climate conditions correspond to a lower mean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proofErr w:type="spellStart"/>
      <w:r w:rsidRPr="001626B1">
        <w:rPr>
          <w:rFonts w:ascii="Times New Roman" w:eastAsia="HGSMinchoE" w:hAnsi="Times New Roman" w:cs="Times New Roman"/>
          <w:color w:val="000000" w:themeColor="text1"/>
        </w:rPr>
        <w:t>λ</w:t>
      </w:r>
      <w:r w:rsidRPr="001626B1">
        <w:rPr>
          <w:rFonts w:ascii="Times New Roman" w:eastAsia="HGSMinchoE" w:hAnsi="Times New Roman" w:cs="Times New Roman"/>
          <w:color w:val="000000" w:themeColor="text1"/>
          <w:vertAlign w:val="subscript"/>
        </w:rPr>
        <w:t>s</w:t>
      </w:r>
      <w:proofErr w:type="spellEnd"/>
      <w:r w:rsidRPr="001626B1">
        <w:rPr>
          <w:rFonts w:ascii="Times New Roman" w:eastAsia="HGSMinchoE" w:hAnsi="Times New Roman" w:cs="Times New Roman"/>
          <w:color w:val="000000" w:themeColor="text1"/>
        </w:rPr>
        <w:t>)</w:t>
      </w:r>
      <w:r w:rsidRPr="001626B1">
        <w:rPr>
          <w:rFonts w:ascii="Times New Roman" w:eastAsia="HGSMinchoE" w:hAnsi="Times New Roman" w:cs="Times New Roman"/>
          <w:color w:val="000000" w:themeColor="text1"/>
          <w:vertAlign w:val="subscript"/>
        </w:rPr>
        <w:t xml:space="preserve"> </w:t>
      </w:r>
      <w:r w:rsidRPr="001626B1">
        <w:rPr>
          <w:rFonts w:ascii="Times New Roman" w:eastAsia="HGSMinchoE" w:hAnsi="Times New Roman" w:cs="Times New Roman"/>
          <w:color w:val="000000" w:themeColor="text1"/>
        </w:rPr>
        <w:t xml:space="preserve">and a smaller equilibrium population size in the Soapstone prairie population. In this population,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in hotter and drier conditions is higher in the initial years of the simulation, but declines earlier and faster than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 xml:space="preserve">(λ) in reference climate simulations. This difference in response could be driven by the difference in habitat at the FEWAFB and Soapstone prairie locations. At FEWAFB,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is found exclusively along the floodplains of small streams, while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at Soapstone prairie grows in wet meadows far from any running water. A decrease in precipitation and increase in evapotranspiration because of higher temperature could certainly decrease flows in the streams at FEWAFB, but would likely cause a drastic decrease in the amount of ephemeral wet meadow habitat at Soapstone prairie. This difference in habitat could explain the different simulated responses of these two populations to simulated climate change. Additionally, the difference in projected impact of the abiotic environment between the two populations could be an artefact of the relatively short duration of demographic monitoring, which meant that we only were able to model the response of these </w:t>
      </w:r>
      <w:r w:rsidRPr="001626B1">
        <w:rPr>
          <w:rFonts w:ascii="Times New Roman" w:eastAsia="HGSMinchoE" w:hAnsi="Times New Roman" w:cs="Times New Roman"/>
          <w:i/>
          <w:iCs/>
          <w:color w:val="000000" w:themeColor="text1"/>
        </w:rPr>
        <w:t xml:space="preserve">O. coloradensis </w:t>
      </w:r>
      <w:r w:rsidRPr="001626B1">
        <w:rPr>
          <w:rFonts w:ascii="Times New Roman" w:eastAsia="HGSMinchoE" w:hAnsi="Times New Roman" w:cs="Times New Roman"/>
          <w:color w:val="000000" w:themeColor="text1"/>
        </w:rPr>
        <w:t xml:space="preserve">populations to a relatively small range of abiotic conditions. Additionally, it is important to note that these simulations employ a very coarse estimation of future climate conditions, and do not incorporate the effects of change in disturbance regimes, habitat loss due to anthropogenic disturbance or shrub encroachment, or other potential threats to this species. As such, they should be taken as a single piece of encouraging evidence for the fate of this species, and should not be used to make a definite prognosis for persistence of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w:t>
      </w:r>
    </w:p>
    <w:p w14:paraId="0519785C" w14:textId="77777777"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Our analysis of the population dynamics of </w:t>
      </w:r>
      <w:r w:rsidRPr="001626B1">
        <w:rPr>
          <w:rFonts w:ascii="Times New Roman" w:eastAsia="HGSMinchoE" w:hAnsi="Times New Roman" w:cs="Times New Roman"/>
          <w:i/>
          <w:iCs/>
          <w:color w:val="000000" w:themeColor="text1"/>
        </w:rPr>
        <w:t>Oenothera coloradensis</w:t>
      </w:r>
      <w:r w:rsidRPr="001626B1">
        <w:rPr>
          <w:rFonts w:ascii="Times New Roman" w:eastAsia="HGSMinchoE" w:hAnsi="Times New Roman" w:cs="Times New Roman"/>
          <w:color w:val="000000" w:themeColor="text1"/>
        </w:rPr>
        <w:t xml:space="preserve"> at two distinct locations shows that this species has a lifecycle that is strongly influenced by introduction and </w:t>
      </w:r>
      <w:r w:rsidRPr="001626B1">
        <w:rPr>
          <w:rFonts w:ascii="Times New Roman" w:eastAsia="HGSMinchoE" w:hAnsi="Times New Roman" w:cs="Times New Roman"/>
          <w:color w:val="000000" w:themeColor="text1"/>
        </w:rPr>
        <w:lastRenderedPageBreak/>
        <w:t xml:space="preserve">persistence of seeds into a seedbank. More broadly, we show that this rare endemic species shows signs of negative density dependence. Populations of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may additionally be maintained via high local abundances that allow them to escape the challenges of small population size that rare species often face </w:t>
      </w:r>
      <w:r w:rsidRPr="001626B1">
        <w:rPr>
          <w:rFonts w:ascii="Times New Roman" w:eastAsia="HGSMinchoE" w:hAnsi="Times New Roman" w:cs="Times New Roman"/>
          <w:color w:val="000000" w:themeColor="text1"/>
        </w:rPr>
        <w:fldChar w:fldCharType="begin" w:fldLock="1"/>
      </w:r>
      <w:r w:rsidRPr="001626B1">
        <w:rPr>
          <w:rFonts w:ascii="Times New Roman" w:eastAsia="HGSMinchoE" w:hAnsi="Times New Roman" w:cs="Times New Roman"/>
          <w:color w:val="000000" w:themeColor="text1"/>
        </w:rPr>
        <w:instrText>ADDIN CSL_CITATION {"citationItems":[{"id":"ITEM-1","itemData":{"DOI":"10.2307/4110060","ISSN":"00755974","abstract":"There are many ways in which a species can become rare and this path has profound evolutionary and ecological consequences. A theoretical framework of an eight-celled table is proposed for the different types of rarity depending on range, habitat specificity and local abundance. Seven forms of rarity are discussed with examples from the North American flora. in particular that of the narrow endemic. Studies of the competitive abilities of sparse and common prairie grasses provide insights into the biological nature of rarity and show that competitive abilities are more critical to persistence than to the regulation of abundance. Natural selection may operate to favor traits which offset the disadvantages of local small population size. We reach conclusions that are both unexpected and relevant to practical conservation philosophies.","author":[{"dropping-particle":"","family":"Rabinowitz","given":"Deborah","non-dropping-particle":"","parse-names":false,"suffix":""}],"container-title":"The Biological aspects of rare plant conservation","editor":[{"dropping-particle":"","family":"Synge","given":"Hugh","non-dropping-particle":"","parse-names":false,"suffix":""}],"id":"ITEM-1","issued":{"date-parts":[["1981"]]},"publisher":"John WIley &amp; Sons, Ltd.","title":"Seven forms of rarity","type":"chapter"},"uris":["http://www.mendeley.com/documents/?uuid=eec430e5-41a7-4237-b24a-a3569090d028"]}],"mendeley":{"formattedCitation":"(Rabinowitz 1981)","plainTextFormattedCitation":"(Rabinowitz 1981)"},"properties":{"noteIndex":0},"schema":"https://github.com/citation-style-language/schema/raw/master/csl-citation.json"}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(Rabinowitz 1981)</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These findings reinforce the importance of careful evaluation of the unique population dynamics of rare species to inform successful conservation and management. </w:t>
      </w:r>
    </w:p>
    <w:p w14:paraId="3D2B18CB" w14:textId="77777777" w:rsidR="00450A49" w:rsidRPr="001626B1" w:rsidRDefault="00450A49" w:rsidP="00450A49">
      <w:pPr>
        <w:pStyle w:val="Heading2"/>
        <w:rPr>
          <w:rFonts w:ascii="Times New Roman" w:hAnsi="Times New Roman" w:cs="Times New Roman"/>
          <w:b w:val="0"/>
          <w:bCs w:val="0"/>
          <w:color w:val="000000" w:themeColor="text1"/>
          <w:sz w:val="24"/>
          <w:szCs w:val="24"/>
        </w:rPr>
      </w:pPr>
      <w:bookmarkStart w:id="47" w:name="_Toc101229643"/>
      <w:bookmarkStart w:id="48" w:name="_Toc101544578"/>
      <w:r w:rsidRPr="001626B1">
        <w:rPr>
          <w:rFonts w:ascii="Times New Roman" w:hAnsi="Times New Roman" w:cs="Times New Roman"/>
          <w:color w:val="000000" w:themeColor="text1"/>
          <w:sz w:val="24"/>
          <w:szCs w:val="24"/>
        </w:rPr>
        <w:t>References</w:t>
      </w:r>
      <w:bookmarkEnd w:id="47"/>
      <w:bookmarkEnd w:id="48"/>
    </w:p>
    <w:p w14:paraId="39630681"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b/>
          <w:bCs/>
          <w:color w:val="000000" w:themeColor="text1"/>
        </w:rPr>
        <w:fldChar w:fldCharType="begin" w:fldLock="1"/>
      </w:r>
      <w:r w:rsidRPr="001626B1">
        <w:rPr>
          <w:rFonts w:ascii="Times New Roman" w:hAnsi="Times New Roman" w:cs="Times New Roman"/>
          <w:b/>
          <w:bCs/>
          <w:color w:val="000000" w:themeColor="text1"/>
        </w:rPr>
        <w:instrText xml:space="preserve">ADDIN Mendeley Bibliography CSL_BIBLIOGRAPHY </w:instrText>
      </w:r>
      <w:r w:rsidRPr="001626B1">
        <w:rPr>
          <w:rFonts w:ascii="Times New Roman" w:hAnsi="Times New Roman" w:cs="Times New Roman"/>
          <w:b/>
          <w:bCs/>
          <w:color w:val="000000" w:themeColor="text1"/>
        </w:rPr>
        <w:fldChar w:fldCharType="separate"/>
      </w:r>
      <w:r w:rsidRPr="001626B1">
        <w:rPr>
          <w:rFonts w:ascii="Times New Roman" w:hAnsi="Times New Roman" w:cs="Times New Roman"/>
          <w:noProof/>
          <w:color w:val="000000" w:themeColor="text1"/>
        </w:rPr>
        <w:t xml:space="preserve">Abbott, R. E., D. F. Doak, and M. L. Peterson. 2017. Portfolio effects, climate change, and the persistence of small populations: analyses on the rare plant </w:t>
      </w:r>
      <w:r w:rsidRPr="001626B1">
        <w:rPr>
          <w:rFonts w:ascii="Times New Roman" w:hAnsi="Times New Roman" w:cs="Times New Roman"/>
          <w:i/>
          <w:iCs/>
          <w:noProof/>
          <w:color w:val="000000" w:themeColor="text1"/>
        </w:rPr>
        <w:t>Saussurea weberi</w:t>
      </w:r>
      <w:r w:rsidRPr="001626B1">
        <w:rPr>
          <w:rFonts w:ascii="Times New Roman" w:hAnsi="Times New Roman" w:cs="Times New Roman"/>
          <w:noProof/>
          <w:color w:val="000000" w:themeColor="text1"/>
        </w:rPr>
        <w:t>. Ecology 98:1071–1081.</w:t>
      </w:r>
    </w:p>
    <w:p w14:paraId="26FD45C7"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Arnoldi, J. F., M. Loreau, and B. Haegeman. 2019. The inherent multidimensionality of temporal variability: how common and rare species shape stability patterns. Ecology Letters 22:1557–1567.</w:t>
      </w:r>
    </w:p>
    <w:p w14:paraId="5D6A9EA2"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Bonett, D. G. 2006. Confidence interval for a coefficient of quartile variation. Computational Statistics and Data Analysis 50:2953–2957.</w:t>
      </w:r>
    </w:p>
    <w:p w14:paraId="5E54A7A8"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Burgess, L. M. 2003. Impacts of Mowing, Burning, and Climate on Germination and Seedling Recruitment of Colorado Butterfly Plant (</w:t>
      </w:r>
      <w:r w:rsidRPr="001626B1">
        <w:rPr>
          <w:rFonts w:ascii="Times New Roman" w:hAnsi="Times New Roman" w:cs="Times New Roman"/>
          <w:i/>
          <w:iCs/>
          <w:noProof/>
          <w:color w:val="000000" w:themeColor="text1"/>
        </w:rPr>
        <w:t>Gaura neomexicana</w:t>
      </w:r>
      <w:r w:rsidRPr="001626B1">
        <w:rPr>
          <w:rFonts w:ascii="Times New Roman" w:hAnsi="Times New Roman" w:cs="Times New Roman"/>
          <w:noProof/>
          <w:color w:val="000000" w:themeColor="text1"/>
        </w:rPr>
        <w:t xml:space="preserve"> ssp. </w:t>
      </w:r>
      <w:r w:rsidRPr="001626B1">
        <w:rPr>
          <w:rFonts w:ascii="Times New Roman" w:hAnsi="Times New Roman" w:cs="Times New Roman"/>
          <w:i/>
          <w:iCs/>
          <w:noProof/>
          <w:color w:val="000000" w:themeColor="text1"/>
        </w:rPr>
        <w:t>coloradensis</w:t>
      </w:r>
      <w:r w:rsidRPr="001626B1">
        <w:rPr>
          <w:rFonts w:ascii="Times New Roman" w:hAnsi="Times New Roman" w:cs="Times New Roman"/>
          <w:noProof/>
          <w:color w:val="000000" w:themeColor="text1"/>
        </w:rPr>
        <w:t>). University of Wyoming.</w:t>
      </w:r>
    </w:p>
    <w:p w14:paraId="70B0CD11"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Burgess, L. M., A. L. Hild, and N. L. Shaw. 2005. Capsule treatments to enhance seedling emergence of Gaura neomexicana ssp. coloradensis. Restoration Ecology 13:8–14.</w:t>
      </w:r>
    </w:p>
    <w:p w14:paraId="49B7FABD"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Burner, R. C., L. Drag, J. G. Stephan, T. Birkemoe, R. Wetherbee, J. Muller, J. Siitonen, T. Snäll, O. Skarpaas, M. Potterf, I. Doerfler, M. M. Gossner, P. Schall, W. W. Weisser, and A. Sverdrup-Thygeson. 2022. Functional structure of European forest beetle communities is enhanced by rare species. Biological Conservation 267.</w:t>
      </w:r>
    </w:p>
    <w:p w14:paraId="321AFE5A"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Calatayud, J., E. Andivia, A. Escudero, C. J. Melián, R. Bernardo-Madrid, M. Stoffel, C. Aponte, N. G. Medina, R. Molina-Venegas, X. Arnan, M. Rosvall, M. Neuman, J. A. Noriega, F. Alves-Martins, I. Draper, A. Luzuriaga, J. A. Ballesteros-Cánovas, C. Morales-Molino, P. Ferrandis, A. Herrero, L. Pataro, L. Juen, A. Cea, and J. Madrigal-González. 2020. Positive associations among rare species and their persistence in ecological assemblages. Nature Ecology and Evolution 4:40–45.</w:t>
      </w:r>
    </w:p>
    <w:p w14:paraId="509C866E"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Caswell, H. 2001. Matrix Population Models: Construction, Analysis, and Interpretation. 2nd edition. Sinauer Associates.</w:t>
      </w:r>
    </w:p>
    <w:p w14:paraId="1FDE0B98"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Dibner, R. R., M. L. Peterson, A. M. Louthan, and D. F. Doak. 2019. Multiple mechanisms confer stability to isolated populations of a rare endemic plant. Ecological Monographs 89:1–16.</w:t>
      </w:r>
    </w:p>
    <w:p w14:paraId="246F93B2"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lastRenderedPageBreak/>
        <w:t>Drury, W. H. 1974. Rare species. Biological Conservation 6:162–169.</w:t>
      </w:r>
    </w:p>
    <w:p w14:paraId="6781E675"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Easterling, M. R., S. P. Ellner, and P. M. Dixon. 2000. Size-Specific Sensitivity: Applying a New Structured Population Model. Ecology 81:694–708.</w:t>
      </w:r>
    </w:p>
    <w:p w14:paraId="7D730BB0"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Ellner, S. P., D. Z. Childs, and M. Rees. 2016. Data-driven Modelling of Structured Populations. Springer International Publishing, Switzerland.</w:t>
      </w:r>
    </w:p>
    <w:p w14:paraId="41946270"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Ellner, S. P., and M. Rees. 2006. Integral projection models for species with complex demography. American Naturalist 167:410–428.</w:t>
      </w:r>
    </w:p>
    <w:p w14:paraId="74913422"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Enquist, B. J., X. Feng, B. Boyle, B. Maitner, E. A. Newman, P. M. Jørgensen, P. R. Roehrdanz, B. M. Thiers, J. R. Burger, R. T. Corlett, T. L. P. Couvreur, G. Dauby, J. C. Donoghue, W. Foden, J. C. Lovett, P. A. Marquet, C. Merow, G. Midgley, N. Morueta-Holme, D. M. Neves, A. T. Oliveira-Filho, N. J. B. Kraft, D. S. Park, R. K. Peet, M. Pillet, J. M. Serra-Diaz, B. Sandel, M. Schildhauer, I. Šímová, C. Violle, J. J. Wieringa, S. K. Wiser, L. Hannah, J. C. Svenning, and B. J. McGill. 2019. The commonness of rarity: Global and future distribution of rarity across land plants. Science Advances 5:1–14.</w:t>
      </w:r>
    </w:p>
    <w:p w14:paraId="0189E734"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 xml:space="preserve">Everson, M. E. 2019. Endangered and Threatened Wildlife and Plants; Removing </w:t>
      </w:r>
      <w:r w:rsidRPr="001626B1">
        <w:rPr>
          <w:rFonts w:ascii="Times New Roman" w:hAnsi="Times New Roman" w:cs="Times New Roman"/>
          <w:i/>
          <w:iCs/>
          <w:noProof/>
          <w:color w:val="000000" w:themeColor="text1"/>
        </w:rPr>
        <w:t>Oenothera coloradensis</w:t>
      </w:r>
      <w:r w:rsidRPr="001626B1">
        <w:rPr>
          <w:rFonts w:ascii="Times New Roman" w:hAnsi="Times New Roman" w:cs="Times New Roman"/>
          <w:noProof/>
          <w:color w:val="000000" w:themeColor="text1"/>
        </w:rPr>
        <w:t xml:space="preserve"> (Colorado Butterfly Plant) From the Federal List of Endangered and Threatened Plants. Federal Register: The Daily Journal of the United States 84:59570–59588.</w:t>
      </w:r>
    </w:p>
    <w:p w14:paraId="22776A45"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Fieberg, J. R., K. Vitense, and D. H. Johnson. 2020. Resampling-based methods for biologists. PeerJ 2020.</w:t>
      </w:r>
    </w:p>
    <w:p w14:paraId="5A348B45"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 xml:space="preserve">Floyd, S. K., and T. A. Ranker. 1998. Analysis of a Transition Matrix Model for </w:t>
      </w:r>
      <w:r w:rsidRPr="001626B1">
        <w:rPr>
          <w:rFonts w:ascii="Times New Roman" w:hAnsi="Times New Roman" w:cs="Times New Roman"/>
          <w:i/>
          <w:iCs/>
          <w:noProof/>
          <w:color w:val="000000" w:themeColor="text1"/>
        </w:rPr>
        <w:t>Gaura neomexicana</w:t>
      </w:r>
      <w:r w:rsidRPr="001626B1">
        <w:rPr>
          <w:rFonts w:ascii="Times New Roman" w:hAnsi="Times New Roman" w:cs="Times New Roman"/>
          <w:noProof/>
          <w:color w:val="000000" w:themeColor="text1"/>
        </w:rPr>
        <w:t xml:space="preserve"> ssp.</w:t>
      </w:r>
      <w:r w:rsidRPr="001626B1">
        <w:rPr>
          <w:rFonts w:ascii="Times New Roman" w:hAnsi="Times New Roman" w:cs="Times New Roman"/>
          <w:i/>
          <w:iCs/>
          <w:noProof/>
          <w:color w:val="000000" w:themeColor="text1"/>
        </w:rPr>
        <w:t xml:space="preserve"> coloradensis </w:t>
      </w:r>
      <w:r w:rsidRPr="001626B1">
        <w:rPr>
          <w:rFonts w:ascii="Times New Roman" w:hAnsi="Times New Roman" w:cs="Times New Roman"/>
          <w:noProof/>
          <w:color w:val="000000" w:themeColor="text1"/>
        </w:rPr>
        <w:t>(Onagraceae) Reveals Spatial and Temporal Demographic Variability. International Journal of Plant Sciences 159:853–863.</w:t>
      </w:r>
    </w:p>
    <w:p w14:paraId="2CCFAFDF"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Heidel, B., D. Tuthill, and Z. Wallace. 2021. 33-Year Population Trends of Colorado Butterfly Plant (</w:t>
      </w:r>
      <w:r w:rsidRPr="001626B1">
        <w:rPr>
          <w:rFonts w:ascii="Times New Roman" w:hAnsi="Times New Roman" w:cs="Times New Roman"/>
          <w:i/>
          <w:iCs/>
          <w:noProof/>
          <w:color w:val="000000" w:themeColor="text1"/>
        </w:rPr>
        <w:t>Oenothera coloradensis</w:t>
      </w:r>
      <w:r w:rsidRPr="001626B1">
        <w:rPr>
          <w:rFonts w:ascii="Times New Roman" w:hAnsi="Times New Roman" w:cs="Times New Roman"/>
          <w:noProof/>
          <w:color w:val="000000" w:themeColor="text1"/>
        </w:rPr>
        <w:t>; Onagraceae), a Short-Lived Riparian Species on F. E. Warren Air Force Base, Laramie County, Wyoming. Laramie, WY.</w:t>
      </w:r>
      <w:r w:rsidRPr="001626B1">
        <w:rPr>
          <w:color w:val="000000" w:themeColor="text1"/>
        </w:rPr>
        <w:t xml:space="preserve"> </w:t>
      </w:r>
      <w:r w:rsidRPr="001626B1">
        <w:rPr>
          <w:rFonts w:ascii="Calibri" w:hAnsi="Calibri" w:cs="Calibri"/>
          <w:noProof/>
          <w:color w:val="000000" w:themeColor="text1"/>
        </w:rPr>
        <w:t>﻿</w:t>
      </w:r>
      <w:r w:rsidRPr="001626B1">
        <w:rPr>
          <w:rFonts w:ascii="Times New Roman" w:hAnsi="Times New Roman" w:cs="Times New Roman"/>
          <w:noProof/>
          <w:color w:val="000000" w:themeColor="text1"/>
        </w:rPr>
        <w:t>Prepared for U.S. Fish and Wildlife Service and F. E. Warren Air Force Base by the Wyoming Natural Diversity Database (University of Wyoming), Laramie, WY.</w:t>
      </w:r>
    </w:p>
    <w:p w14:paraId="369AB90E"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Hilde, C. H., M. Gamelon, B. E. Sæther, J. M. Gaillard, N. G. Yoccoz, and C. Pélabon. 2020. The Demographic Buffering Hypothesis: Evidence and Challenges. Trends in Ecology and Evolution xx.</w:t>
      </w:r>
    </w:p>
    <w:p w14:paraId="68BA2D05"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Jennings, M. 2000. Endangered and Threatened Wildlife and Plants: Threatened Status for the Colorado Butterfly Plant (</w:t>
      </w:r>
      <w:r w:rsidRPr="001626B1">
        <w:rPr>
          <w:rFonts w:ascii="Times New Roman" w:hAnsi="Times New Roman" w:cs="Times New Roman"/>
          <w:i/>
          <w:iCs/>
          <w:noProof/>
          <w:color w:val="000000" w:themeColor="text1"/>
        </w:rPr>
        <w:t>Gaura neomexicana</w:t>
      </w:r>
      <w:r w:rsidRPr="001626B1">
        <w:rPr>
          <w:rFonts w:ascii="Times New Roman" w:hAnsi="Times New Roman" w:cs="Times New Roman"/>
          <w:noProof/>
          <w:color w:val="000000" w:themeColor="text1"/>
        </w:rPr>
        <w:t xml:space="preserve"> ssp. </w:t>
      </w:r>
      <w:r w:rsidRPr="001626B1">
        <w:rPr>
          <w:rFonts w:ascii="Times New Roman" w:hAnsi="Times New Roman" w:cs="Times New Roman"/>
          <w:i/>
          <w:iCs/>
          <w:noProof/>
          <w:color w:val="000000" w:themeColor="text1"/>
        </w:rPr>
        <w:t>coloradensis</w:t>
      </w:r>
      <w:r w:rsidRPr="001626B1">
        <w:rPr>
          <w:rFonts w:ascii="Times New Roman" w:hAnsi="Times New Roman" w:cs="Times New Roman"/>
          <w:noProof/>
          <w:color w:val="000000" w:themeColor="text1"/>
        </w:rPr>
        <w:t>) From Southeastern Wyoming, Northcentral Colorado, and Extreme Western Nebraska. Federal Register: The Daily Journal of the United States 65:62302–62310.</w:t>
      </w:r>
    </w:p>
    <w:p w14:paraId="495DF7FA"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Jongejans, E., A. W. Sheppard, and K. Shea. 2006. What controls the population dynamics of the invasive thistle Carduus nutans in its native range? Journal of Applied Ecology 43:877–886.</w:t>
      </w:r>
    </w:p>
    <w:p w14:paraId="34FEFF86"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Kauffman, M. J., J. F. Pollock, and B. Walton. 2004. Spatial structure, dispersal, and management of a recovering raptor population. American Naturalist 164:582–597.</w:t>
      </w:r>
    </w:p>
    <w:p w14:paraId="359D7905"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 xml:space="preserve">Leitão, R. P., J. Zuanon, S. Villéger, S. E. Williams, C. Baraloto, C. Fortune, F. P. Mendonça, and D. Mouillot. 2016. Rare species contribute disproportionately to the functional structure </w:t>
      </w:r>
      <w:r w:rsidRPr="001626B1">
        <w:rPr>
          <w:rFonts w:ascii="Times New Roman" w:hAnsi="Times New Roman" w:cs="Times New Roman"/>
          <w:noProof/>
          <w:color w:val="000000" w:themeColor="text1"/>
        </w:rPr>
        <w:lastRenderedPageBreak/>
        <w:t>of species assemblages. Proceedings of the Royal Society B: Biological Sciences 283.</w:t>
      </w:r>
    </w:p>
    <w:p w14:paraId="75387746"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Levins, R., and D. Culver. 1971. Regional Coexistence of Species and Competition between Rare Species. Proceedings of the National Academy of Sciences 68:1246–1248.</w:t>
      </w:r>
    </w:p>
    <w:p w14:paraId="1244BD0E"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Lyons, K. G., C. A. Brigham, B. H. Traut, and M. W. Schwartz. 2005. Rare species and ecosystem functioning. Conservation Biology 19:1019–1024.</w:t>
      </w:r>
    </w:p>
    <w:p w14:paraId="7215890A"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Lyons, K. G., and M. W. Schwartz. 2001. Rare species loss alters ecosystem function - Invasion resistance. Ecology Letters 4:358–365.</w:t>
      </w:r>
    </w:p>
    <w:p w14:paraId="3F37455C"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May, R. M. 1973. Stability in Randomly Fluctuating Versus Deterministic Environments. The American Naturalist 107:621–650.</w:t>
      </w:r>
    </w:p>
    <w:p w14:paraId="466CB6A9"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Merow, C., J. P. Dahlgren, C. J. E. Metcalf, D. Z. Childs, M. E. K. Evans, E. Jongejans, S. Record, M. Rees, R. Salguero-Gómez, and S. M. Mcmahon. 2014. Advancing population ecology with integral projection models: A practical guide. Methods in Ecology and Evolution 5:99–110.</w:t>
      </w:r>
    </w:p>
    <w:p w14:paraId="53A83BDF"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Morris, W. F., and D. F. Doak. 2002. Quantitative Conservation Biology: Theory and Practice of Population Viability Analysis. Sinauer Associates, Sunderland, MA.</w:t>
      </w:r>
    </w:p>
    <w:p w14:paraId="780DC8FA"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Morris, W. F., and D. F. Doak. 2004. Buffering of Life Histories against Environmental Stochasticity: Accounting for a Spurious Correlation between the Variabilities of Vital Rates and Their Contributions to Fitness. American Naturalist 163:579–590.</w:t>
      </w:r>
    </w:p>
    <w:p w14:paraId="43E41F66"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Munk, L. M. 1999. Colorado butterfly plant (</w:t>
      </w:r>
      <w:r w:rsidRPr="001626B1">
        <w:rPr>
          <w:rFonts w:ascii="Times New Roman" w:hAnsi="Times New Roman" w:cs="Times New Roman"/>
          <w:i/>
          <w:iCs/>
          <w:noProof/>
          <w:color w:val="000000" w:themeColor="text1"/>
        </w:rPr>
        <w:t>Gaura neomexicana</w:t>
      </w:r>
      <w:r w:rsidRPr="001626B1">
        <w:rPr>
          <w:rFonts w:ascii="Times New Roman" w:hAnsi="Times New Roman" w:cs="Times New Roman"/>
          <w:noProof/>
          <w:color w:val="000000" w:themeColor="text1"/>
        </w:rPr>
        <w:t xml:space="preserve"> spp. </w:t>
      </w:r>
      <w:r w:rsidRPr="001626B1">
        <w:rPr>
          <w:rFonts w:ascii="Times New Roman" w:hAnsi="Times New Roman" w:cs="Times New Roman"/>
          <w:i/>
          <w:iCs/>
          <w:noProof/>
          <w:color w:val="000000" w:themeColor="text1"/>
        </w:rPr>
        <w:t>coloradensis</w:t>
      </w:r>
      <w:r w:rsidRPr="001626B1">
        <w:rPr>
          <w:rFonts w:ascii="Times New Roman" w:hAnsi="Times New Roman" w:cs="Times New Roman"/>
          <w:noProof/>
          <w:color w:val="000000" w:themeColor="text1"/>
        </w:rPr>
        <w:t>) regeneration with removal of Canada thistle (</w:t>
      </w:r>
      <w:r w:rsidRPr="001626B1">
        <w:rPr>
          <w:rFonts w:ascii="Times New Roman" w:hAnsi="Times New Roman" w:cs="Times New Roman"/>
          <w:i/>
          <w:iCs/>
          <w:noProof/>
          <w:color w:val="000000" w:themeColor="text1"/>
        </w:rPr>
        <w:t>Cirsium arvense</w:t>
      </w:r>
      <w:r w:rsidRPr="001626B1">
        <w:rPr>
          <w:rFonts w:ascii="Times New Roman" w:hAnsi="Times New Roman" w:cs="Times New Roman"/>
          <w:noProof/>
          <w:color w:val="000000" w:themeColor="text1"/>
        </w:rPr>
        <w:t>) or native herbs. University of Wyoming.</w:t>
      </w:r>
    </w:p>
    <w:p w14:paraId="21955A35"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Munk, L. M., A. L. Hild, and T. D. Whitson. 2002. Rosette recruitment of a rare endemic forb (</w:t>
      </w:r>
      <w:r w:rsidRPr="001626B1">
        <w:rPr>
          <w:rFonts w:ascii="Times New Roman" w:hAnsi="Times New Roman" w:cs="Times New Roman"/>
          <w:i/>
          <w:iCs/>
          <w:noProof/>
          <w:color w:val="000000" w:themeColor="text1"/>
        </w:rPr>
        <w:t>Gaura neomexicana</w:t>
      </w:r>
      <w:r w:rsidRPr="001626B1">
        <w:rPr>
          <w:rFonts w:ascii="Times New Roman" w:hAnsi="Times New Roman" w:cs="Times New Roman"/>
          <w:noProof/>
          <w:color w:val="000000" w:themeColor="text1"/>
        </w:rPr>
        <w:t xml:space="preserve"> subsp.</w:t>
      </w:r>
      <w:r w:rsidRPr="001626B1">
        <w:rPr>
          <w:rFonts w:ascii="Times New Roman" w:hAnsi="Times New Roman" w:cs="Times New Roman"/>
          <w:i/>
          <w:iCs/>
          <w:noProof/>
          <w:color w:val="000000" w:themeColor="text1"/>
        </w:rPr>
        <w:t xml:space="preserve"> coloradensis</w:t>
      </w:r>
      <w:r w:rsidRPr="001626B1">
        <w:rPr>
          <w:rFonts w:ascii="Times New Roman" w:hAnsi="Times New Roman" w:cs="Times New Roman"/>
          <w:noProof/>
          <w:color w:val="000000" w:themeColor="text1"/>
        </w:rPr>
        <w:t>) with canopy removal of associated species. Restoration Ecology 10:122–128.</w:t>
      </w:r>
    </w:p>
    <w:p w14:paraId="79B26809"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Nei, M., T. Maruyama, and R. Chakraborty. 1975. The Bottleneck Effect and Genetic Variability in Populations. Evolution 29:1–10.</w:t>
      </w:r>
    </w:p>
    <w:p w14:paraId="4C4E17BB"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Nguyen, V., Y. M. Buckley, R. Salguero-Gómez, and G. M. Wardle. 2019. Consequences of neglecting cryptic life stages from demographic models. Ecological Modelling 408.</w:t>
      </w:r>
    </w:p>
    <w:p w14:paraId="6AF14184"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Oksanen, J., F. G. Blanchet, M. Friendly, R. Kindt, P. Legendre, D. McGlinn, P. R. Minchin, R. B. O’Hara, G. L. Simpson, P. Solymos, M. H. H. Stevens, E. Szoecs, and H. Wagner. 2020. vegan: Community Ecology Package. R package version 2.5-7.</w:t>
      </w:r>
    </w:p>
    <w:p w14:paraId="446B43F6"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Paniw, M., P. F. Quintana-Ascencio, F. Ojeda, and R. Salguero-Gómez. 2017. Accounting for uncertainty in dormant life stages in stochastic demographic models. Oikos 126:900–909.</w:t>
      </w:r>
    </w:p>
    <w:p w14:paraId="621B1A7E"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Pfister, C. A. 1998. Patterns of variance in stage-structured populations : Evolutionary predictions and ecological implications. Proceedings of the National Academy of Sciences 95:213–218.</w:t>
      </w:r>
    </w:p>
    <w:p w14:paraId="44D443B7"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Pulliam, H. R. 2016. Sources , Sinks , and Population Regulation Author: H . Ronald Pulliam Published by : The University of Chicago Press for The American Society of Naturalists Stable URL : http://www.jstor.org/stable/2461927 Accessed : 17-03-2016 21 : 27 UTC Your use 132:652–661.</w:t>
      </w:r>
    </w:p>
    <w:p w14:paraId="1E36AB8F"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lastRenderedPageBreak/>
        <w:t xml:space="preserve">Rabinowitz, D. 1981. Seven forms of rarity. Page </w:t>
      </w:r>
      <w:r w:rsidRPr="001626B1">
        <w:rPr>
          <w:rFonts w:ascii="Times New Roman" w:hAnsi="Times New Roman" w:cs="Times New Roman"/>
          <w:i/>
          <w:iCs/>
          <w:noProof/>
          <w:color w:val="000000" w:themeColor="text1"/>
        </w:rPr>
        <w:t>in</w:t>
      </w:r>
      <w:r w:rsidRPr="001626B1">
        <w:rPr>
          <w:rFonts w:ascii="Times New Roman" w:hAnsi="Times New Roman" w:cs="Times New Roman"/>
          <w:noProof/>
          <w:color w:val="000000" w:themeColor="text1"/>
        </w:rPr>
        <w:t xml:space="preserve"> H. Synge, editor. The Biological aspects of rare plant conservation. John WIley &amp; Sons, Ltd.</w:t>
      </w:r>
    </w:p>
    <w:p w14:paraId="32604BE4"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Rees, M., D. Z. Childs, C. J. E. Metcalf, K. E. Rose, A. W. Sheppard, and P. J. Grubb. 2006. Seed dormancy and delayed flowering in monocarpic plants: selective interactions in a stochastic environment. The American Naturalist 168:E53–E71.</w:t>
      </w:r>
    </w:p>
    <w:p w14:paraId="334C337C"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 xml:space="preserve">Rosenzweig, M. L., and M. V Lomolino. 1997. The Biology of Rarity. Page </w:t>
      </w:r>
      <w:r w:rsidRPr="001626B1">
        <w:rPr>
          <w:rFonts w:ascii="Times New Roman" w:hAnsi="Times New Roman" w:cs="Times New Roman"/>
          <w:i/>
          <w:iCs/>
          <w:noProof/>
          <w:color w:val="000000" w:themeColor="text1"/>
        </w:rPr>
        <w:t>in</w:t>
      </w:r>
      <w:r w:rsidRPr="001626B1">
        <w:rPr>
          <w:rFonts w:ascii="Times New Roman" w:hAnsi="Times New Roman" w:cs="Times New Roman"/>
          <w:noProof/>
          <w:color w:val="000000" w:themeColor="text1"/>
        </w:rPr>
        <w:t xml:space="preserve"> W. E. Kunin and K. J. Gaston, editors. The Biology of Rarity. Chapman &amp; Hall, London.</w:t>
      </w:r>
    </w:p>
    <w:p w14:paraId="0D5FE4BB"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Rovere, J., and J. W. Fox. 2019. Persistently rare species experience stronger negative frequency dependence than common species: A statistical attractor that is hard to avoid. Global Ecology and Biogeography 28:508–520.</w:t>
      </w:r>
    </w:p>
    <w:p w14:paraId="32D694C1"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Säterberg, T., T. Jonsson, J. Yearsley, S. Berg, and B. Ebenman. 2019. A potential role for rare species in ecosystem dynamics. Scientific reports 9:11107.</w:t>
      </w:r>
    </w:p>
    <w:p w14:paraId="6D157A24"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Sgarbi, L. F., and A. S. Melo. 2018. You don’t belong here: explaining the excess of rare species in terms of habitat, space and time. Oikos 127:497–506.</w:t>
      </w:r>
    </w:p>
    <w:p w14:paraId="6BFBA299"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Stanley, S. M. 1979. Macroevolution: Pattern and Process. W. H. Freeman.</w:t>
      </w:r>
    </w:p>
    <w:p w14:paraId="2F99BA99"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Venables, W. N., and B. D. Ripley. 2002. Modern Applied Statistics with S. Fourth. Springer, New York.</w:t>
      </w:r>
    </w:p>
    <w:p w14:paraId="37985287"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Vicente-Serrano, S. M., S. M. Quiring, M. Peña-Gallardo, S. Yuan, and F. Domínguez-Castro. 2020. A review of environmental droughts: Increased risk under global warming? Earth-Science Reviews 201:102953.</w:t>
      </w:r>
    </w:p>
    <w:p w14:paraId="69A2E1CD"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Villellas, J., D. F. Doak, M. B. García, and W. F. Morris. 2015. Demographic compensation among populations: What is it, how does it arise and what are its implications? Ecology Letters 18:1139–1152.</w:t>
      </w:r>
    </w:p>
    <w:p w14:paraId="28BD70BB"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Vitalis, R., S. Glémin, and I. Olivieri. 2004. When genes go to sleep: The population genetic consequences of seed dormancy and monocarpic perenniality. American Naturalist 163:295–311.</w:t>
      </w:r>
    </w:p>
    <w:p w14:paraId="069A880F" w14:textId="77777777" w:rsidR="00450A49" w:rsidRPr="001626B1" w:rsidRDefault="00450A49" w:rsidP="00450A49">
      <w:pPr>
        <w:widowControl w:val="0"/>
        <w:autoSpaceDE w:val="0"/>
        <w:autoSpaceDN w:val="0"/>
        <w:adjustRightInd w:val="0"/>
        <w:spacing w:before="120" w:after="100"/>
        <w:ind w:left="480" w:hanging="480"/>
        <w:rPr>
          <w:rFonts w:ascii="Times New Roman" w:hAnsi="Times New Roman" w:cs="Times New Roman"/>
          <w:noProof/>
          <w:color w:val="000000" w:themeColor="text1"/>
        </w:rPr>
      </w:pPr>
      <w:r w:rsidRPr="001626B1">
        <w:rPr>
          <w:rFonts w:ascii="Times New Roman" w:hAnsi="Times New Roman" w:cs="Times New Roman"/>
          <w:noProof/>
          <w:color w:val="000000" w:themeColor="text1"/>
        </w:rPr>
        <w:t>Wagner, W. L., P. C. Hoch, and P. H. Raven. 2007. Revised Classification of the Onagraceae. Page Systematic Botany Monographs. The American Society of Plant Taxonomists.</w:t>
      </w:r>
    </w:p>
    <w:p w14:paraId="71625DEB" w14:textId="77777777" w:rsidR="00450A49" w:rsidRPr="001626B1" w:rsidRDefault="00450A49" w:rsidP="00450A49">
      <w:pPr>
        <w:widowControl w:val="0"/>
        <w:autoSpaceDE w:val="0"/>
        <w:autoSpaceDN w:val="0"/>
        <w:adjustRightInd w:val="0"/>
        <w:spacing w:before="120" w:after="100"/>
        <w:rPr>
          <w:rFonts w:ascii="Times New Roman" w:hAnsi="Times New Roman" w:cs="Times New Roman"/>
          <w:b/>
          <w:bCs/>
          <w:color w:val="000000" w:themeColor="text1"/>
        </w:rPr>
      </w:pPr>
      <w:r w:rsidRPr="001626B1">
        <w:rPr>
          <w:rFonts w:ascii="Times New Roman" w:hAnsi="Times New Roman" w:cs="Times New Roman"/>
          <w:b/>
          <w:bCs/>
          <w:color w:val="000000" w:themeColor="text1"/>
        </w:rPr>
        <w:fldChar w:fldCharType="end"/>
      </w:r>
      <w:r w:rsidRPr="001626B1">
        <w:rPr>
          <w:rFonts w:ascii="Times New Roman" w:hAnsi="Times New Roman" w:cs="Times New Roman"/>
          <w:color w:val="000000" w:themeColor="text1"/>
        </w:rPr>
        <w:br w:type="page"/>
      </w:r>
    </w:p>
    <w:p w14:paraId="65BA0298" w14:textId="77777777" w:rsidR="00450A49" w:rsidRPr="005B5B22" w:rsidRDefault="00450A49" w:rsidP="00450A49">
      <w:pPr>
        <w:pStyle w:val="Heading2"/>
        <w:rPr>
          <w:rFonts w:ascii="Times New Roman" w:hAnsi="Times New Roman" w:cs="Times New Roman"/>
          <w:color w:val="000000" w:themeColor="text1"/>
          <w:sz w:val="24"/>
          <w:szCs w:val="24"/>
        </w:rPr>
      </w:pPr>
      <w:bookmarkStart w:id="49" w:name="_Toc101229644"/>
      <w:bookmarkStart w:id="50" w:name="_Toc101544579"/>
      <w:r w:rsidRPr="005B5B22">
        <w:rPr>
          <w:rFonts w:ascii="Times New Roman" w:hAnsi="Times New Roman" w:cs="Times New Roman"/>
          <w:color w:val="000000" w:themeColor="text1"/>
          <w:sz w:val="24"/>
          <w:szCs w:val="24"/>
        </w:rPr>
        <w:lastRenderedPageBreak/>
        <w:t xml:space="preserve">Appendix </w:t>
      </w:r>
      <w:r>
        <w:rPr>
          <w:rFonts w:ascii="Times New Roman" w:hAnsi="Times New Roman" w:cs="Times New Roman"/>
          <w:color w:val="000000" w:themeColor="text1"/>
          <w:sz w:val="24"/>
          <w:szCs w:val="24"/>
        </w:rPr>
        <w:t>S</w:t>
      </w:r>
      <w:r w:rsidRPr="005B5B22">
        <w:rPr>
          <w:rFonts w:ascii="Times New Roman" w:hAnsi="Times New Roman" w:cs="Times New Roman"/>
          <w:color w:val="000000" w:themeColor="text1"/>
          <w:sz w:val="24"/>
          <w:szCs w:val="24"/>
        </w:rPr>
        <w:t>1: Supplementary Figures</w:t>
      </w:r>
      <w:bookmarkEnd w:id="49"/>
      <w:bookmarkEnd w:id="50"/>
    </w:p>
    <w:p w14:paraId="2C0275BC" w14:textId="77777777" w:rsidR="00450A49" w:rsidRPr="005B5B22" w:rsidRDefault="00450A49" w:rsidP="00450A49">
      <w:pPr>
        <w:spacing w:line="360" w:lineRule="auto"/>
        <w:rPr>
          <w:rFonts w:ascii="Times New Roman" w:hAnsi="Times New Roman" w:cs="Times New Roman"/>
          <w:b/>
          <w:bCs/>
          <w:color w:val="000000" w:themeColor="text1"/>
        </w:rPr>
      </w:pPr>
      <w:r w:rsidRPr="005B5B22">
        <w:rPr>
          <w:rFonts w:ascii="Times New Roman" w:hAnsi="Times New Roman" w:cs="Times New Roman"/>
          <w:b/>
          <w:bCs/>
          <w:noProof/>
          <w:color w:val="000000" w:themeColor="text1"/>
        </w:rPr>
        <w:drawing>
          <wp:inline distT="0" distB="0" distL="0" distR="0" wp14:anchorId="3470688C" wp14:editId="5767859F">
            <wp:extent cx="36576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756B7214" w14:textId="77777777" w:rsidR="00450A49" w:rsidRPr="003706F3" w:rsidRDefault="00450A49" w:rsidP="00450A49">
      <w:pPr>
        <w:spacing w:line="360" w:lineRule="auto"/>
        <w:rPr>
          <w:rFonts w:ascii="Times New Roman" w:hAnsi="Times New Roman" w:cs="Times New Roman"/>
          <w:color w:val="000000" w:themeColor="text1"/>
        </w:rPr>
      </w:pPr>
      <w:r w:rsidRPr="005B5B22">
        <w:rPr>
          <w:rFonts w:ascii="Times New Roman" w:hAnsi="Times New Roman" w:cs="Times New Roman"/>
          <w:b/>
          <w:bCs/>
          <w:color w:val="000000" w:themeColor="text1"/>
        </w:rPr>
        <w:t xml:space="preserve">Figure S1: </w:t>
      </w:r>
      <w:r w:rsidRPr="003706F3">
        <w:rPr>
          <w:rFonts w:ascii="Times New Roman" w:hAnsi="Times New Roman" w:cs="Times New Roman"/>
          <w:color w:val="000000" w:themeColor="text1"/>
        </w:rPr>
        <w:t xml:space="preserve">As the stem length of an </w:t>
      </w:r>
      <w:r w:rsidRPr="003706F3">
        <w:rPr>
          <w:rFonts w:ascii="Times New Roman" w:hAnsi="Times New Roman" w:cs="Times New Roman"/>
          <w:i/>
          <w:iCs/>
          <w:color w:val="000000" w:themeColor="text1"/>
        </w:rPr>
        <w:t>Oenothera coloradensis</w:t>
      </w:r>
      <w:r w:rsidRPr="003706F3">
        <w:rPr>
          <w:rFonts w:ascii="Times New Roman" w:hAnsi="Times New Roman" w:cs="Times New Roman"/>
          <w:color w:val="000000" w:themeColor="text1"/>
        </w:rPr>
        <w:t xml:space="preserve"> flowering individual increases, the number of capsules it produces increases as well (Number of capsules = 2.95 + 2.0*(stem length in cm) (multiple R-squared = 0.67, </w:t>
      </w:r>
      <w:r w:rsidRPr="003706F3">
        <w:rPr>
          <w:rFonts w:ascii="Times New Roman" w:hAnsi="Times New Roman" w:cs="Times New Roman"/>
          <w:i/>
          <w:iCs/>
          <w:color w:val="000000" w:themeColor="text1"/>
        </w:rPr>
        <w:t>P</w:t>
      </w:r>
      <w:r w:rsidRPr="003706F3">
        <w:rPr>
          <w:rFonts w:ascii="Times New Roman" w:hAnsi="Times New Roman" w:cs="Times New Roman"/>
          <w:color w:val="000000" w:themeColor="text1"/>
        </w:rPr>
        <w:t xml:space="preserve"> = &lt; 0.01, F-statistic = 212.5, </w:t>
      </w:r>
      <w:proofErr w:type="spellStart"/>
      <w:r w:rsidRPr="003706F3">
        <w:rPr>
          <w:rFonts w:ascii="Times New Roman" w:hAnsi="Times New Roman" w:cs="Times New Roman"/>
          <w:color w:val="000000" w:themeColor="text1"/>
        </w:rPr>
        <w:t>df</w:t>
      </w:r>
      <w:proofErr w:type="spellEnd"/>
      <w:r w:rsidRPr="003706F3">
        <w:rPr>
          <w:rFonts w:ascii="Times New Roman" w:hAnsi="Times New Roman" w:cs="Times New Roman"/>
          <w:color w:val="000000" w:themeColor="text1"/>
        </w:rPr>
        <w:t xml:space="preserve"> = 104). </w:t>
      </w:r>
    </w:p>
    <w:p w14:paraId="36045FBA" w14:textId="77777777" w:rsidR="00450A49" w:rsidRPr="005B5B22" w:rsidRDefault="00450A49" w:rsidP="00450A49">
      <w:pPr>
        <w:rPr>
          <w:rFonts w:ascii="Times New Roman" w:hAnsi="Times New Roman" w:cs="Times New Roman"/>
          <w:b/>
          <w:bCs/>
          <w:color w:val="000000" w:themeColor="text1"/>
        </w:rPr>
      </w:pPr>
    </w:p>
    <w:p w14:paraId="1465C5D0" w14:textId="77777777" w:rsidR="00B7076D" w:rsidRPr="00A018BD" w:rsidRDefault="00B7076D" w:rsidP="00450A49">
      <w:pPr>
        <w:spacing w:line="480" w:lineRule="auto"/>
        <w:rPr>
          <w:rFonts w:ascii="Times New Roman" w:hAnsi="Times New Roman" w:cs="Times New Roman"/>
          <w:color w:val="000000" w:themeColor="text1"/>
        </w:rPr>
      </w:pPr>
    </w:p>
    <w:sectPr w:rsidR="00B7076D" w:rsidRPr="00A018BD" w:rsidSect="009414ED">
      <w:headerReference w:type="even" r:id="rId20"/>
      <w:head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ria paniw" w:date="2022-04-06T00:29:00Z" w:initials="mp">
    <w:p w14:paraId="3DCF36C0" w14:textId="77777777" w:rsidR="001603B3" w:rsidRDefault="001603B3" w:rsidP="001603B3">
      <w:pPr>
        <w:pStyle w:val="CommentText"/>
      </w:pPr>
      <w:r>
        <w:rPr>
          <w:rStyle w:val="CommentReference"/>
        </w:rPr>
        <w:annotationRef/>
      </w:r>
      <w:r>
        <w:t xml:space="preserve">Aren’t the effects of density dependence more typically measured at the vital-rate level? </w:t>
      </w:r>
    </w:p>
  </w:comment>
  <w:comment w:id="7" w:author="Alice Elizabeth Stears" w:date="2022-04-18T14:37:00Z" w:initials="AES">
    <w:p w14:paraId="51744C0D" w14:textId="77777777" w:rsidR="001603B3" w:rsidRDefault="001603B3" w:rsidP="001603B3">
      <w:r>
        <w:rPr>
          <w:rStyle w:val="CommentReference"/>
        </w:rPr>
        <w:annotationRef/>
      </w:r>
      <w:r>
        <w:rPr>
          <w:sz w:val="20"/>
          <w:szCs w:val="20"/>
        </w:rPr>
        <w:t>I feel like the response of lambda to DD is a relatively common thing?? But I could be wrong…</w:t>
      </w:r>
    </w:p>
  </w:comment>
  <w:comment w:id="14" w:author="Microsoft Office User" w:date="2022-04-05T04:22:00Z" w:initials="MOU">
    <w:p w14:paraId="1B78A1C3" w14:textId="77777777" w:rsidR="006C6F28" w:rsidRDefault="006C6F28" w:rsidP="006C6F28">
      <w:pPr>
        <w:pStyle w:val="CommentText"/>
      </w:pPr>
      <w:r>
        <w:rPr>
          <w:rStyle w:val="CommentReference"/>
        </w:rPr>
        <w:annotationRef/>
      </w:r>
      <w:r>
        <w:t xml:space="preserve">Why did you choose these specific covariates a priori? If there is no strong reason (i.e., previous studies), it would probably be more robust to test different climatic variables, and, more importantly, different temporal windows of effect. </w:t>
      </w:r>
    </w:p>
  </w:comment>
  <w:comment w:id="15" w:author="Alice Elizabeth Stears" w:date="2022-04-18T14:53:00Z" w:initials="AES">
    <w:p w14:paraId="7DE28410" w14:textId="77777777" w:rsidR="006C6F28" w:rsidRDefault="006C6F28" w:rsidP="00534E61">
      <w:r>
        <w:rPr>
          <w:rStyle w:val="CommentReference"/>
        </w:rPr>
        <w:annotationRef/>
      </w:r>
      <w:r>
        <w:rPr>
          <w:sz w:val="20"/>
          <w:szCs w:val="20"/>
        </w:rPr>
        <w:t>I did test different windows (growing season vs. winter, for example) But I should definitely test more… Perhaps to include in further analysis (for the actual paper, rather than the dissertation chapter)</w:t>
      </w:r>
    </w:p>
  </w:comment>
  <w:comment w:id="18" w:author="Microsoft Office User" w:date="2022-04-05T04:48:00Z" w:initials="MOU">
    <w:p w14:paraId="69405A4A" w14:textId="77777777" w:rsidR="006C6F28" w:rsidRDefault="006C6F28" w:rsidP="006C6F28">
      <w:pPr>
        <w:pStyle w:val="CommentText"/>
      </w:pPr>
      <w:r>
        <w:rPr>
          <w:rStyle w:val="CommentReference"/>
        </w:rPr>
        <w:annotationRef/>
      </w:r>
      <w:r>
        <w:t xml:space="preserve">Okay, this is interesting because the typical procedure would be to determine the best model structure for each vital rate (including fixed effects of density and weather and random effect of site and subpopulation and year) and then do the IPM projections based on the best-fit vital rate model. Here, you tested for “best-fit” IPMs so to say, where you made a lot of vital rate models (regardless of whether they describe the data best) and tested the performance at the level of the IPM output (lambda). Has this been done before? I am not familiar with such an approach. </w:t>
      </w:r>
    </w:p>
  </w:comment>
  <w:comment w:id="19" w:author="Alice Elizabeth Stears" w:date="2022-04-18T14:56:00Z" w:initials="AES">
    <w:p w14:paraId="64D4C616" w14:textId="77777777" w:rsidR="006C6F28" w:rsidRDefault="006C6F28" w:rsidP="006C6F28">
      <w:r>
        <w:rPr>
          <w:rStyle w:val="CommentReference"/>
        </w:rPr>
        <w:annotationRef/>
      </w:r>
      <w:r>
        <w:rPr>
          <w:sz w:val="20"/>
          <w:szCs w:val="20"/>
        </w:rPr>
        <w:t>I did this to determine how different covariates impacted lambda…. so that was why I made so many different IPMs. Dibner, et al. 2019 seems to have taken a similar approach (our analyses were inspired by their framework</w:t>
      </w:r>
    </w:p>
  </w:comment>
  <w:comment w:id="20" w:author="Microsoft Office User" w:date="2022-04-05T06:16:00Z" w:initials="MOU">
    <w:p w14:paraId="0E1B2DD4" w14:textId="77777777" w:rsidR="006C6F28" w:rsidRDefault="006C6F28" w:rsidP="006C6F28">
      <w:pPr>
        <w:pStyle w:val="CommentText"/>
      </w:pPr>
      <w:r>
        <w:rPr>
          <w:rStyle w:val="CommentReference"/>
        </w:rPr>
        <w:annotationRef/>
      </w:r>
      <w:r>
        <w:t xml:space="preserve">Technical question: If plants &gt;3 cm are “non-seedling”, so juveniles, how long does it take them to grow so much? In other words, is it reasonable to assume that there is the same chance of seeing seedlings of size 3 (almost juvenile) as size 0.1 (still super tiny)? A reviewer may wonder why you didn’t choose a Normal distribution.  </w:t>
      </w:r>
    </w:p>
  </w:comment>
  <w:comment w:id="21" w:author="Alice Elizabeth Stears" w:date="2022-04-18T15:00:00Z" w:initials="AES">
    <w:p w14:paraId="43B9DD1B" w14:textId="77777777" w:rsidR="006C6F28" w:rsidRDefault="006C6F28" w:rsidP="006C6F28">
      <w:r>
        <w:rPr>
          <w:rStyle w:val="CommentReference"/>
        </w:rPr>
        <w:annotationRef/>
      </w:r>
      <w:r>
        <w:rPr>
          <w:sz w:val="20"/>
          <w:szCs w:val="20"/>
        </w:rPr>
        <w:t>That’s a good point… We chose a uniform distribution just to be as conservative as possible, since we don’t actually have any quantitative information about size-dependent survival for these small plants &lt;3 cm</w:t>
      </w:r>
    </w:p>
  </w:comment>
  <w:comment w:id="22" w:author="Microsoft Office User" w:date="2022-04-05T06:39:00Z" w:initials="MOU">
    <w:p w14:paraId="4C642C66" w14:textId="77777777" w:rsidR="006C6F28" w:rsidRDefault="006C6F28" w:rsidP="006C6F28">
      <w:pPr>
        <w:pStyle w:val="CommentText"/>
      </w:pPr>
      <w:r>
        <w:rPr>
          <w:rStyle w:val="CommentReference"/>
        </w:rPr>
        <w:annotationRef/>
      </w:r>
      <w:r>
        <w:t xml:space="preserve">But I don’t quite understand why you used the seedling data to parameterize size-dependent vital rates. I guess you get the same result doing it the way you describe, but wouldn’t a more straightforward way be: say you have 50 seedlings – you assign a random size to them – but their survival (#recruits &gt; 3 cm/ # seedlings) is not a function of size, and you fit a separate model for seedling survival – so of the 50 seedling with random sizes, say, 20 survive and transition to &gt; 3 cm of size - then you have the survival and growth of all the individually tagged plants. </w:t>
      </w:r>
    </w:p>
    <w:p w14:paraId="3A082BDB" w14:textId="77777777" w:rsidR="006C6F28" w:rsidRDefault="006C6F28" w:rsidP="006C6F28">
      <w:pPr>
        <w:pStyle w:val="CommentText"/>
      </w:pPr>
    </w:p>
    <w:p w14:paraId="6687527D" w14:textId="77777777" w:rsidR="006C6F28" w:rsidRDefault="006C6F28" w:rsidP="006C6F28">
      <w:pPr>
        <w:pStyle w:val="CommentText"/>
      </w:pPr>
      <w:r>
        <w:t>So, like a stage x size model typical for animal systems.</w:t>
      </w:r>
    </w:p>
    <w:p w14:paraId="70746EC2" w14:textId="77777777" w:rsidR="006C6F28" w:rsidRDefault="006C6F28" w:rsidP="006C6F28">
      <w:pPr>
        <w:pStyle w:val="CommentText"/>
      </w:pPr>
    </w:p>
    <w:p w14:paraId="3DC9F127" w14:textId="77777777" w:rsidR="006C6F28" w:rsidRDefault="006C6F28" w:rsidP="006C6F28">
      <w:pPr>
        <w:pStyle w:val="CommentText"/>
      </w:pPr>
      <w:r>
        <w:t xml:space="preserve">I’m just thinking, if you incorporate the “random” seedling data into the size-dependent survival and growth models, and your model form (GLM) (or curve) is not very flexible or wiggly (it’s not a GAM), you “condition” the line to have a certain form based on data that is not “real”. Do you know what I mean? </w:t>
      </w:r>
    </w:p>
  </w:comment>
  <w:comment w:id="23" w:author="Alice Elizabeth Stears" w:date="2022-04-18T15:02:00Z" w:initials="AES">
    <w:p w14:paraId="07353592" w14:textId="77777777" w:rsidR="006C6F28" w:rsidRDefault="006C6F28" w:rsidP="006C6F28">
      <w:r>
        <w:rPr>
          <w:rStyle w:val="CommentReference"/>
        </w:rPr>
        <w:annotationRef/>
      </w:r>
      <w:r>
        <w:rPr>
          <w:sz w:val="20"/>
          <w:szCs w:val="20"/>
        </w:rPr>
        <w:t>We did this basically to simplify the analysis… but it would be good to try a stagexsize model — maybe for the MS, but not for the dissertation chapter (?)</w:t>
      </w:r>
    </w:p>
  </w:comment>
  <w:comment w:id="26" w:author="maria paniw" w:date="2022-04-05T08:32:00Z" w:initials="mp">
    <w:p w14:paraId="03A052F3" w14:textId="77777777" w:rsidR="00560EC5" w:rsidRDefault="00560EC5" w:rsidP="00560EC5">
      <w:pPr>
        <w:pStyle w:val="CommentText"/>
      </w:pPr>
      <w:r>
        <w:rPr>
          <w:rStyle w:val="CommentReference"/>
        </w:rPr>
        <w:annotationRef/>
      </w:r>
      <w:r>
        <w:t xml:space="preserve">That’s plot level right? I am wondering whether it would make most sense to parameterize all IPMs at the plot level as a baseline and then perturb them. See comment below. </w:t>
      </w:r>
    </w:p>
  </w:comment>
  <w:comment w:id="27" w:author="maria paniw" w:date="2022-04-05T09:05:00Z" w:initials="mp">
    <w:p w14:paraId="2B7EBEF2" w14:textId="77777777" w:rsidR="00560EC5" w:rsidRDefault="00560EC5" w:rsidP="00560EC5">
      <w:pPr>
        <w:pStyle w:val="CommentText"/>
      </w:pPr>
      <w:r>
        <w:rPr>
          <w:rStyle w:val="CommentReference"/>
        </w:rPr>
        <w:annotationRef/>
      </w:r>
      <w:r>
        <w:t>Again, it is confusing to keep track of the different combinations of models you built and why you are using a specific set for a specific set of analyses.</w:t>
      </w:r>
    </w:p>
    <w:p w14:paraId="38700E2D" w14:textId="77777777" w:rsidR="00560EC5" w:rsidRDefault="00560EC5" w:rsidP="00560EC5">
      <w:pPr>
        <w:pStyle w:val="CommentText"/>
      </w:pPr>
    </w:p>
    <w:p w14:paraId="3DDC9A08" w14:textId="77777777" w:rsidR="00560EC5" w:rsidRDefault="00560EC5" w:rsidP="00560EC5">
      <w:pPr>
        <w:pStyle w:val="CommentText"/>
      </w:pPr>
      <w:r>
        <w:t xml:space="preserve">Here to, I wonder if it wouldn’t be more “economic” to do a model selection procedure where you identify the best set of vital rate models using AIC and perform all analyses in Objective 2 using this one set of models. </w:t>
      </w:r>
    </w:p>
  </w:comment>
  <w:comment w:id="28" w:author="Alice Elizabeth Stears" w:date="2022-04-18T16:53:00Z" w:initials="AES">
    <w:p w14:paraId="530DFBE6" w14:textId="77777777" w:rsidR="00560EC5" w:rsidRDefault="00560EC5" w:rsidP="00560EC5">
      <w:r>
        <w:rPr>
          <w:rStyle w:val="CommentReference"/>
        </w:rPr>
        <w:annotationRef/>
      </w:r>
      <w:r>
        <w:rPr>
          <w:sz w:val="20"/>
          <w:szCs w:val="20"/>
        </w:rPr>
        <w:t>Would this really be possible, given that I am testing the different mechanisms using different vital rate model setups? I essentially did what you described in the previous comment—fitting models using the same model framework but with different covariates depending on the mechanism in question</w:t>
      </w:r>
    </w:p>
  </w:comment>
  <w:comment w:id="29" w:author="maria paniw" w:date="2022-04-05T09:27:00Z" w:initials="mp">
    <w:p w14:paraId="0F209258" w14:textId="77777777" w:rsidR="00560EC5" w:rsidRDefault="00560EC5" w:rsidP="00560EC5">
      <w:pPr>
        <w:pStyle w:val="CommentText"/>
      </w:pPr>
      <w:r>
        <w:rPr>
          <w:rStyle w:val="CommentReference"/>
        </w:rPr>
        <w:annotationRef/>
      </w:r>
      <w:r>
        <w:t xml:space="preserve">I am not sure buffering can be calculated from coefficients the way you do here. I have never seen it done. The main issue I see is that 0,1 vital rates cannot vary freely. Even if the coefficient varies, once back-transformed from the link scale, this variation may be minimal. The most recent approaches therefore correct SD (albeit at the level of the response) as well as elasticities (see McDonald et al. 2016. Nat Eco Evo) </w:t>
      </w:r>
    </w:p>
  </w:comment>
  <w:comment w:id="30" w:author="Alice Elizabeth Stears" w:date="2022-04-18T17:51:00Z" w:initials="AES">
    <w:p w14:paraId="6F9AF9A8" w14:textId="77777777" w:rsidR="00560EC5" w:rsidRDefault="00560EC5" w:rsidP="00B47A50">
      <w:r>
        <w:rPr>
          <w:rStyle w:val="CommentReference"/>
        </w:rPr>
        <w:annotationRef/>
      </w:r>
      <w:r>
        <w:rPr>
          <w:sz w:val="20"/>
          <w:szCs w:val="20"/>
        </w:rPr>
        <w:t xml:space="preserve">This was the way that Dibner et al, 2019 did it, so that’s why we did it this way… for the MS, I can definitely change it to use VSS. I just need to figure out how to do it correctly! </w:t>
      </w:r>
    </w:p>
  </w:comment>
  <w:comment w:id="43" w:author="maria paniw" w:date="2022-04-05T10:12:00Z" w:initials="mp">
    <w:p w14:paraId="2D48A815" w14:textId="77777777" w:rsidR="00560EC5" w:rsidRDefault="00560EC5" w:rsidP="00560EC5">
      <w:pPr>
        <w:pStyle w:val="CommentText"/>
      </w:pPr>
      <w:r>
        <w:rPr>
          <w:rStyle w:val="CommentReference"/>
        </w:rPr>
        <w:annotationRef/>
      </w:r>
      <w:r>
        <w:t xml:space="preserve">Okay, these are like the most beautiful simulations I’ve ever seen… suspicious :D So, how come the population stabilizes? Density dependence? And why is there no fluctuations once equilibrium is reached? This almost suggests no density dependence was modeled. But if not, lambda was pretty big overall, so how the populations are not increasing over time? </w:t>
      </w:r>
    </w:p>
  </w:comment>
  <w:comment w:id="44" w:author="Alice Elizabeth Stears" w:date="2022-04-25T10:25:00Z" w:initials="AES">
    <w:p w14:paraId="213BD606" w14:textId="77777777" w:rsidR="00560EC5" w:rsidRDefault="00560EC5" w:rsidP="00174F57">
      <w:r>
        <w:rPr>
          <w:rStyle w:val="CommentReference"/>
        </w:rPr>
        <w:annotationRef/>
      </w:r>
      <w:r>
        <w:rPr>
          <w:sz w:val="20"/>
          <w:szCs w:val="20"/>
        </w:rPr>
        <w:t xml:space="preserve">It is definitely possible (maybe even likely) that I did the simulations incorrectly… I included density dependence in the ipmr projections, but maybe we could go over code to make sure I’m doing it correctly. </w:t>
      </w:r>
    </w:p>
    <w:p w14:paraId="0F8E5DCE" w14:textId="77777777" w:rsidR="00560EC5" w:rsidRDefault="00560EC5" w:rsidP="00174F57"/>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CF36C0" w15:done="0"/>
  <w15:commentEx w15:paraId="51744C0D" w15:paraIdParent="3DCF36C0" w15:done="0"/>
  <w15:commentEx w15:paraId="1B78A1C3" w15:done="0"/>
  <w15:commentEx w15:paraId="7DE28410" w15:paraIdParent="1B78A1C3" w15:done="0"/>
  <w15:commentEx w15:paraId="69405A4A" w15:done="0"/>
  <w15:commentEx w15:paraId="64D4C616" w15:paraIdParent="69405A4A" w15:done="0"/>
  <w15:commentEx w15:paraId="0E1B2DD4" w15:done="0"/>
  <w15:commentEx w15:paraId="43B9DD1B" w15:paraIdParent="0E1B2DD4" w15:done="0"/>
  <w15:commentEx w15:paraId="3DC9F127" w15:done="0"/>
  <w15:commentEx w15:paraId="07353592" w15:paraIdParent="3DC9F127" w15:done="0"/>
  <w15:commentEx w15:paraId="03A052F3" w15:done="0"/>
  <w15:commentEx w15:paraId="3DDC9A08" w15:done="0"/>
  <w15:commentEx w15:paraId="530DFBE6" w15:paraIdParent="3DDC9A08" w15:done="0"/>
  <w15:commentEx w15:paraId="0F209258" w15:done="0"/>
  <w15:commentEx w15:paraId="6F9AF9A8" w15:paraIdParent="0F209258" w15:done="0"/>
  <w15:commentEx w15:paraId="2D48A815" w15:done="0"/>
  <w15:commentEx w15:paraId="0F8E5DCE" w15:paraIdParent="2D48A8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CDE1" w16cex:dateUtc="2022-04-06T06:29:00Z"/>
  <w16cex:commentExtensible w16cex:durableId="2607F619" w16cex:dateUtc="2022-04-18T20:37:00Z"/>
  <w16cex:commentExtensible w16cex:durableId="25F6B301" w16cex:dateUtc="2022-04-05T10:22:00Z"/>
  <w16cex:commentExtensible w16cex:durableId="2607F9CC" w16cex:dateUtc="2022-04-18T20:53:00Z"/>
  <w16cex:commentExtensible w16cex:durableId="25F6B90D" w16cex:dateUtc="2022-04-05T10:48:00Z"/>
  <w16cex:commentExtensible w16cex:durableId="2607FAA5" w16cex:dateUtc="2022-04-18T20:56:00Z"/>
  <w16cex:commentExtensible w16cex:durableId="25F6CDB3" w16cex:dateUtc="2022-04-05T12:16:00Z"/>
  <w16cex:commentExtensible w16cex:durableId="2607FB7A" w16cex:dateUtc="2022-04-18T21:00:00Z"/>
  <w16cex:commentExtensible w16cex:durableId="25F6D324" w16cex:dateUtc="2022-04-05T12:39:00Z"/>
  <w16cex:commentExtensible w16cex:durableId="2607FBE8" w16cex:dateUtc="2022-04-18T21:02:00Z"/>
  <w16cex:commentExtensible w16cex:durableId="25F6EDB3" w16cex:dateUtc="2022-04-05T14:32:00Z"/>
  <w16cex:commentExtensible w16cex:durableId="25F6F55F" w16cex:dateUtc="2022-04-05T15:05:00Z"/>
  <w16cex:commentExtensible w16cex:durableId="26081621" w16cex:dateUtc="2022-04-18T22:53:00Z"/>
  <w16cex:commentExtensible w16cex:durableId="25F6FA7E" w16cex:dateUtc="2022-04-05T15:27:00Z"/>
  <w16cex:commentExtensible w16cex:durableId="2608239E" w16cex:dateUtc="2022-04-18T23:51:00Z"/>
  <w16cex:commentExtensible w16cex:durableId="25F704FD" w16cex:dateUtc="2022-04-05T16:12:00Z"/>
  <w16cex:commentExtensible w16cex:durableId="2610F5AB" w16cex:dateUtc="2022-04-25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CF36C0" w16cid:durableId="25F7CDE1"/>
  <w16cid:commentId w16cid:paraId="51744C0D" w16cid:durableId="2607F619"/>
  <w16cid:commentId w16cid:paraId="1B78A1C3" w16cid:durableId="25F6B301"/>
  <w16cid:commentId w16cid:paraId="7DE28410" w16cid:durableId="2607F9CC"/>
  <w16cid:commentId w16cid:paraId="69405A4A" w16cid:durableId="25F6B90D"/>
  <w16cid:commentId w16cid:paraId="64D4C616" w16cid:durableId="2607FAA5"/>
  <w16cid:commentId w16cid:paraId="0E1B2DD4" w16cid:durableId="25F6CDB3"/>
  <w16cid:commentId w16cid:paraId="43B9DD1B" w16cid:durableId="2607FB7A"/>
  <w16cid:commentId w16cid:paraId="3DC9F127" w16cid:durableId="25F6D324"/>
  <w16cid:commentId w16cid:paraId="07353592" w16cid:durableId="2607FBE8"/>
  <w16cid:commentId w16cid:paraId="03A052F3" w16cid:durableId="25F6EDB3"/>
  <w16cid:commentId w16cid:paraId="3DDC9A08" w16cid:durableId="25F6F55F"/>
  <w16cid:commentId w16cid:paraId="530DFBE6" w16cid:durableId="26081621"/>
  <w16cid:commentId w16cid:paraId="0F209258" w16cid:durableId="25F6FA7E"/>
  <w16cid:commentId w16cid:paraId="6F9AF9A8" w16cid:durableId="2608239E"/>
  <w16cid:commentId w16cid:paraId="2D48A815" w16cid:durableId="25F704FD"/>
  <w16cid:commentId w16cid:paraId="0F8E5DCE" w16cid:durableId="2610F5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F9126" w14:textId="77777777" w:rsidR="00885ABC" w:rsidRDefault="00885ABC" w:rsidP="009414ED">
      <w:r>
        <w:separator/>
      </w:r>
    </w:p>
  </w:endnote>
  <w:endnote w:type="continuationSeparator" w:id="0">
    <w:p w14:paraId="414ECFF5" w14:textId="77777777" w:rsidR="00885ABC" w:rsidRDefault="00885ABC" w:rsidP="00941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GSMinchoE">
    <w:panose1 w:val="02020900000000000000"/>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iragino Maru Gothic Pro W4">
    <w:panose1 w:val="020F0400000000000000"/>
    <w:charset w:val="80"/>
    <w:family w:val="swiss"/>
    <w:pitch w:val="variable"/>
    <w:sig w:usb0="E00002FF" w:usb1="7AC7FFFF" w:usb2="00000012" w:usb3="00000000" w:csb0="0002000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0C6A3" w14:textId="77777777" w:rsidR="00885ABC" w:rsidRDefault="00885ABC" w:rsidP="009414ED">
      <w:r>
        <w:separator/>
      </w:r>
    </w:p>
  </w:footnote>
  <w:footnote w:type="continuationSeparator" w:id="0">
    <w:p w14:paraId="515D16F4" w14:textId="77777777" w:rsidR="00885ABC" w:rsidRDefault="00885ABC" w:rsidP="00941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3907503"/>
      <w:docPartObj>
        <w:docPartGallery w:val="Page Numbers (Top of Page)"/>
        <w:docPartUnique/>
      </w:docPartObj>
    </w:sdtPr>
    <w:sdtEndPr>
      <w:rPr>
        <w:rStyle w:val="PageNumber"/>
      </w:rPr>
    </w:sdtEndPr>
    <w:sdtContent>
      <w:p w14:paraId="03E71A2B" w14:textId="5A5F8BD3" w:rsidR="009414ED" w:rsidRDefault="009414ED" w:rsidP="007137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D88CE" w14:textId="77777777" w:rsidR="009414ED" w:rsidRDefault="009414ED" w:rsidP="009414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692903240"/>
      <w:docPartObj>
        <w:docPartGallery w:val="Page Numbers (Top of Page)"/>
        <w:docPartUnique/>
      </w:docPartObj>
    </w:sdtPr>
    <w:sdtEndPr>
      <w:rPr>
        <w:rStyle w:val="PageNumber"/>
      </w:rPr>
    </w:sdtEndPr>
    <w:sdtContent>
      <w:p w14:paraId="0ABD159A" w14:textId="2AB079DC" w:rsidR="009414ED" w:rsidRPr="009414ED" w:rsidRDefault="009414ED" w:rsidP="007137C7">
        <w:pPr>
          <w:pStyle w:val="Header"/>
          <w:framePr w:wrap="none" w:vAnchor="text" w:hAnchor="margin" w:xAlign="right" w:y="1"/>
          <w:rPr>
            <w:rStyle w:val="PageNumber"/>
            <w:rFonts w:ascii="Times New Roman" w:hAnsi="Times New Roman" w:cs="Times New Roman"/>
          </w:rPr>
        </w:pPr>
        <w:r>
          <w:rPr>
            <w:rStyle w:val="PageNumber"/>
            <w:rFonts w:ascii="Times New Roman" w:hAnsi="Times New Roman" w:cs="Times New Roman"/>
          </w:rPr>
          <w:t xml:space="preserve">Stears </w:t>
        </w:r>
        <w:r w:rsidRPr="009414ED">
          <w:rPr>
            <w:rStyle w:val="PageNumber"/>
            <w:rFonts w:ascii="Times New Roman" w:hAnsi="Times New Roman" w:cs="Times New Roman"/>
          </w:rPr>
          <w:fldChar w:fldCharType="begin"/>
        </w:r>
        <w:r w:rsidRPr="009414ED">
          <w:rPr>
            <w:rStyle w:val="PageNumber"/>
            <w:rFonts w:ascii="Times New Roman" w:hAnsi="Times New Roman" w:cs="Times New Roman"/>
          </w:rPr>
          <w:instrText xml:space="preserve"> PAGE </w:instrText>
        </w:r>
        <w:r w:rsidRPr="009414ED">
          <w:rPr>
            <w:rStyle w:val="PageNumber"/>
            <w:rFonts w:ascii="Times New Roman" w:hAnsi="Times New Roman" w:cs="Times New Roman"/>
          </w:rPr>
          <w:fldChar w:fldCharType="separate"/>
        </w:r>
        <w:r w:rsidRPr="009414ED">
          <w:rPr>
            <w:rStyle w:val="PageNumber"/>
            <w:rFonts w:ascii="Times New Roman" w:hAnsi="Times New Roman" w:cs="Times New Roman"/>
            <w:noProof/>
          </w:rPr>
          <w:t>1</w:t>
        </w:r>
        <w:r w:rsidRPr="009414ED">
          <w:rPr>
            <w:rStyle w:val="PageNumber"/>
            <w:rFonts w:ascii="Times New Roman" w:hAnsi="Times New Roman" w:cs="Times New Roman"/>
          </w:rPr>
          <w:fldChar w:fldCharType="end"/>
        </w:r>
      </w:p>
    </w:sdtContent>
  </w:sdt>
  <w:p w14:paraId="6A7D8AF3" w14:textId="3F1945BC" w:rsidR="009414ED" w:rsidRPr="009414ED" w:rsidRDefault="009414ED" w:rsidP="009414ED">
    <w:pPr>
      <w:pStyle w:val="Header"/>
      <w:ind w:right="360"/>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00515099"/>
    <w:multiLevelType w:val="hybridMultilevel"/>
    <w:tmpl w:val="919CB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C6F59"/>
    <w:multiLevelType w:val="hybridMultilevel"/>
    <w:tmpl w:val="4C2A5480"/>
    <w:lvl w:ilvl="0" w:tplc="CA28DF34">
      <w:start w:val="1"/>
      <w:numFmt w:val="decimal"/>
      <w:lvlText w:val="(%1-"/>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F416C"/>
    <w:multiLevelType w:val="hybridMultilevel"/>
    <w:tmpl w:val="A3569526"/>
    <w:lvl w:ilvl="0" w:tplc="6DB05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C3C88"/>
    <w:multiLevelType w:val="hybridMultilevel"/>
    <w:tmpl w:val="34B6A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C0840C8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67FD"/>
    <w:multiLevelType w:val="hybridMultilevel"/>
    <w:tmpl w:val="1E9ED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64A4B"/>
    <w:multiLevelType w:val="hybridMultilevel"/>
    <w:tmpl w:val="1D6E6472"/>
    <w:lvl w:ilvl="0" w:tplc="4456F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71E28"/>
    <w:multiLevelType w:val="multilevel"/>
    <w:tmpl w:val="1666AB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6F610E7"/>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 w15:restartNumberingAfterBreak="0">
    <w:nsid w:val="1A3E5FFA"/>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0" w15:restartNumberingAfterBreak="0">
    <w:nsid w:val="1CBB77D1"/>
    <w:multiLevelType w:val="hybridMultilevel"/>
    <w:tmpl w:val="D50A9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B2F33"/>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2" w15:restartNumberingAfterBreak="0">
    <w:nsid w:val="200F0A11"/>
    <w:multiLevelType w:val="hybridMultilevel"/>
    <w:tmpl w:val="D1CC3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27E6A"/>
    <w:multiLevelType w:val="multilevel"/>
    <w:tmpl w:val="DAB01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A432E"/>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5" w15:restartNumberingAfterBreak="0">
    <w:nsid w:val="2C1AE401"/>
    <w:multiLevelType w:val="multilevel"/>
    <w:tmpl w:val="FFDC4C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0821556"/>
    <w:multiLevelType w:val="multilevel"/>
    <w:tmpl w:val="724E929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7" w15:restartNumberingAfterBreak="0">
    <w:nsid w:val="318869A2"/>
    <w:multiLevelType w:val="multilevel"/>
    <w:tmpl w:val="5CB4D9FA"/>
    <w:lvl w:ilvl="0">
      <w:start w:val="4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50BDA"/>
    <w:multiLevelType w:val="hybridMultilevel"/>
    <w:tmpl w:val="03484162"/>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446E7"/>
    <w:multiLevelType w:val="hybridMultilevel"/>
    <w:tmpl w:val="8A661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C86FB3"/>
    <w:multiLevelType w:val="hybridMultilevel"/>
    <w:tmpl w:val="CDFE0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56DE9"/>
    <w:multiLevelType w:val="hybridMultilevel"/>
    <w:tmpl w:val="A280B07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2" w15:restartNumberingAfterBreak="0">
    <w:nsid w:val="47E02CC2"/>
    <w:multiLevelType w:val="hybridMultilevel"/>
    <w:tmpl w:val="76204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685B94"/>
    <w:multiLevelType w:val="hybridMultilevel"/>
    <w:tmpl w:val="00C6F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7502E1"/>
    <w:multiLevelType w:val="hybridMultilevel"/>
    <w:tmpl w:val="AEE2A2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35877"/>
    <w:multiLevelType w:val="hybridMultilevel"/>
    <w:tmpl w:val="9932C162"/>
    <w:lvl w:ilvl="0" w:tplc="40E0247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F4A02"/>
    <w:multiLevelType w:val="hybridMultilevel"/>
    <w:tmpl w:val="D10437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F17858"/>
    <w:multiLevelType w:val="hybridMultilevel"/>
    <w:tmpl w:val="17C42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5E6583"/>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29" w15:restartNumberingAfterBreak="0">
    <w:nsid w:val="66BD3736"/>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0" w15:restartNumberingAfterBreak="0">
    <w:nsid w:val="674350A8"/>
    <w:multiLevelType w:val="hybridMultilevel"/>
    <w:tmpl w:val="3D820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6B5E94"/>
    <w:multiLevelType w:val="hybridMultilevel"/>
    <w:tmpl w:val="D89C84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CB49F6"/>
    <w:multiLevelType w:val="hybridMultilevel"/>
    <w:tmpl w:val="67DA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E9221B"/>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4" w15:restartNumberingAfterBreak="0">
    <w:nsid w:val="725B6AE3"/>
    <w:multiLevelType w:val="multilevel"/>
    <w:tmpl w:val="A9EA050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5" w15:restartNumberingAfterBreak="0">
    <w:nsid w:val="74036B08"/>
    <w:multiLevelType w:val="hybridMultilevel"/>
    <w:tmpl w:val="BA4C8884"/>
    <w:lvl w:ilvl="0" w:tplc="32ECD2E2">
      <w:start w:val="1"/>
      <w:numFmt w:val="decimal"/>
      <w:lvlText w:val="%1"/>
      <w:lvlJc w:val="left"/>
      <w:pPr>
        <w:ind w:left="356" w:hanging="360"/>
      </w:pPr>
      <w:rPr>
        <w:rFonts w:hint="default"/>
      </w:rPr>
    </w:lvl>
    <w:lvl w:ilvl="1" w:tplc="04090019" w:tentative="1">
      <w:start w:val="1"/>
      <w:numFmt w:val="lowerLetter"/>
      <w:lvlText w:val="%2."/>
      <w:lvlJc w:val="left"/>
      <w:pPr>
        <w:ind w:left="1076" w:hanging="360"/>
      </w:pPr>
    </w:lvl>
    <w:lvl w:ilvl="2" w:tplc="0409001B" w:tentative="1">
      <w:start w:val="1"/>
      <w:numFmt w:val="lowerRoman"/>
      <w:lvlText w:val="%3."/>
      <w:lvlJc w:val="right"/>
      <w:pPr>
        <w:ind w:left="1796" w:hanging="180"/>
      </w:pPr>
    </w:lvl>
    <w:lvl w:ilvl="3" w:tplc="0409000F" w:tentative="1">
      <w:start w:val="1"/>
      <w:numFmt w:val="decimal"/>
      <w:lvlText w:val="%4."/>
      <w:lvlJc w:val="left"/>
      <w:pPr>
        <w:ind w:left="2516" w:hanging="360"/>
      </w:pPr>
    </w:lvl>
    <w:lvl w:ilvl="4" w:tplc="04090019" w:tentative="1">
      <w:start w:val="1"/>
      <w:numFmt w:val="lowerLetter"/>
      <w:lvlText w:val="%5."/>
      <w:lvlJc w:val="left"/>
      <w:pPr>
        <w:ind w:left="3236" w:hanging="360"/>
      </w:pPr>
    </w:lvl>
    <w:lvl w:ilvl="5" w:tplc="0409001B" w:tentative="1">
      <w:start w:val="1"/>
      <w:numFmt w:val="lowerRoman"/>
      <w:lvlText w:val="%6."/>
      <w:lvlJc w:val="right"/>
      <w:pPr>
        <w:ind w:left="3956" w:hanging="180"/>
      </w:pPr>
    </w:lvl>
    <w:lvl w:ilvl="6" w:tplc="0409000F" w:tentative="1">
      <w:start w:val="1"/>
      <w:numFmt w:val="decimal"/>
      <w:lvlText w:val="%7."/>
      <w:lvlJc w:val="left"/>
      <w:pPr>
        <w:ind w:left="4676" w:hanging="360"/>
      </w:pPr>
    </w:lvl>
    <w:lvl w:ilvl="7" w:tplc="04090019" w:tentative="1">
      <w:start w:val="1"/>
      <w:numFmt w:val="lowerLetter"/>
      <w:lvlText w:val="%8."/>
      <w:lvlJc w:val="left"/>
      <w:pPr>
        <w:ind w:left="5396" w:hanging="360"/>
      </w:pPr>
    </w:lvl>
    <w:lvl w:ilvl="8" w:tplc="0409001B" w:tentative="1">
      <w:start w:val="1"/>
      <w:numFmt w:val="lowerRoman"/>
      <w:lvlText w:val="%9."/>
      <w:lvlJc w:val="right"/>
      <w:pPr>
        <w:ind w:left="6116" w:hanging="180"/>
      </w:pPr>
    </w:lvl>
  </w:abstractNum>
  <w:abstractNum w:abstractNumId="36" w15:restartNumberingAfterBreak="0">
    <w:nsid w:val="7629606F"/>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7" w15:restartNumberingAfterBreak="0">
    <w:nsid w:val="792E1AEC"/>
    <w:multiLevelType w:val="hybridMultilevel"/>
    <w:tmpl w:val="1D56C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311A0C"/>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9" w15:restartNumberingAfterBreak="0">
    <w:nsid w:val="7BD324C0"/>
    <w:multiLevelType w:val="hybridMultilevel"/>
    <w:tmpl w:val="EE6E73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470705">
    <w:abstractNumId w:val="10"/>
  </w:num>
  <w:num w:numId="2" w16cid:durableId="922302730">
    <w:abstractNumId w:val="5"/>
  </w:num>
  <w:num w:numId="3" w16cid:durableId="1386833437">
    <w:abstractNumId w:val="12"/>
  </w:num>
  <w:num w:numId="4" w16cid:durableId="1743528135">
    <w:abstractNumId w:val="21"/>
  </w:num>
  <w:num w:numId="5" w16cid:durableId="506336167">
    <w:abstractNumId w:val="37"/>
  </w:num>
  <w:num w:numId="6" w16cid:durableId="549265370">
    <w:abstractNumId w:val="1"/>
  </w:num>
  <w:num w:numId="7" w16cid:durableId="1990479286">
    <w:abstractNumId w:val="22"/>
  </w:num>
  <w:num w:numId="8" w16cid:durableId="1141264999">
    <w:abstractNumId w:val="23"/>
  </w:num>
  <w:num w:numId="9" w16cid:durableId="570238615">
    <w:abstractNumId w:val="30"/>
  </w:num>
  <w:num w:numId="10" w16cid:durableId="1437554897">
    <w:abstractNumId w:val="4"/>
  </w:num>
  <w:num w:numId="11" w16cid:durableId="1236743812">
    <w:abstractNumId w:val="27"/>
  </w:num>
  <w:num w:numId="12" w16cid:durableId="696004268">
    <w:abstractNumId w:val="2"/>
  </w:num>
  <w:num w:numId="13" w16cid:durableId="592201381">
    <w:abstractNumId w:val="3"/>
  </w:num>
  <w:num w:numId="14" w16cid:durableId="1107384280">
    <w:abstractNumId w:val="35"/>
  </w:num>
  <w:num w:numId="15" w16cid:durableId="1676297608">
    <w:abstractNumId w:val="6"/>
  </w:num>
  <w:num w:numId="16" w16cid:durableId="451554690">
    <w:abstractNumId w:val="15"/>
  </w:num>
  <w:num w:numId="17" w16cid:durableId="14155189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07714250">
    <w:abstractNumId w:val="17"/>
  </w:num>
  <w:num w:numId="19" w16cid:durableId="64762002">
    <w:abstractNumId w:val="24"/>
  </w:num>
  <w:num w:numId="20" w16cid:durableId="1130249490">
    <w:abstractNumId w:val="39"/>
  </w:num>
  <w:num w:numId="21" w16cid:durableId="1059942267">
    <w:abstractNumId w:val="31"/>
  </w:num>
  <w:num w:numId="22" w16cid:durableId="1529686140">
    <w:abstractNumId w:val="26"/>
  </w:num>
  <w:num w:numId="23" w16cid:durableId="1584333700">
    <w:abstractNumId w:val="18"/>
  </w:num>
  <w:num w:numId="24" w16cid:durableId="1242595045">
    <w:abstractNumId w:val="13"/>
  </w:num>
  <w:num w:numId="25" w16cid:durableId="982464914">
    <w:abstractNumId w:val="0"/>
  </w:num>
  <w:num w:numId="26" w16cid:durableId="2137722498">
    <w:abstractNumId w:val="28"/>
  </w:num>
  <w:num w:numId="27" w16cid:durableId="110175182">
    <w:abstractNumId w:val="38"/>
  </w:num>
  <w:num w:numId="28" w16cid:durableId="1336835391">
    <w:abstractNumId w:val="33"/>
  </w:num>
  <w:num w:numId="29" w16cid:durableId="1523588695">
    <w:abstractNumId w:val="29"/>
  </w:num>
  <w:num w:numId="30" w16cid:durableId="66807242">
    <w:abstractNumId w:val="9"/>
  </w:num>
  <w:num w:numId="31" w16cid:durableId="2070609958">
    <w:abstractNumId w:val="36"/>
  </w:num>
  <w:num w:numId="32" w16cid:durableId="1614898235">
    <w:abstractNumId w:val="14"/>
  </w:num>
  <w:num w:numId="33" w16cid:durableId="1063799009">
    <w:abstractNumId w:val="11"/>
  </w:num>
  <w:num w:numId="34" w16cid:durableId="116218444">
    <w:abstractNumId w:val="8"/>
  </w:num>
  <w:num w:numId="35" w16cid:durableId="1812862045">
    <w:abstractNumId w:val="34"/>
  </w:num>
  <w:num w:numId="36" w16cid:durableId="949387218">
    <w:abstractNumId w:val="16"/>
  </w:num>
  <w:num w:numId="37" w16cid:durableId="1268150650">
    <w:abstractNumId w:val="25"/>
  </w:num>
  <w:num w:numId="38" w16cid:durableId="582034918">
    <w:abstractNumId w:val="20"/>
  </w:num>
  <w:num w:numId="39" w16cid:durableId="764349090">
    <w:abstractNumId w:val="32"/>
  </w:num>
  <w:num w:numId="40" w16cid:durableId="448429121">
    <w:abstractNumId w:val="19"/>
  </w:num>
  <w:num w:numId="41" w16cid:durableId="61533127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 paniw">
    <w15:presenceInfo w15:providerId="Windows Live" w15:userId="689466d8830f4fbc"/>
  </w15:person>
  <w15:person w15:author="Alice Elizabeth Stears">
    <w15:presenceInfo w15:providerId="AD" w15:userId="S::astears@uwyo.edu::ebe74c89-9905-40c2-b6da-95b0fd6c9be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3C0"/>
    <w:rsid w:val="0000292C"/>
    <w:rsid w:val="00012A43"/>
    <w:rsid w:val="000150EE"/>
    <w:rsid w:val="00015C55"/>
    <w:rsid w:val="0002063A"/>
    <w:rsid w:val="00021D45"/>
    <w:rsid w:val="0002340D"/>
    <w:rsid w:val="0002512D"/>
    <w:rsid w:val="00027E27"/>
    <w:rsid w:val="0003065C"/>
    <w:rsid w:val="000335B3"/>
    <w:rsid w:val="00033833"/>
    <w:rsid w:val="00035D3E"/>
    <w:rsid w:val="00040656"/>
    <w:rsid w:val="00044C52"/>
    <w:rsid w:val="00045EBF"/>
    <w:rsid w:val="00054F68"/>
    <w:rsid w:val="000550A0"/>
    <w:rsid w:val="00057944"/>
    <w:rsid w:val="00057ADE"/>
    <w:rsid w:val="000633EE"/>
    <w:rsid w:val="000634AC"/>
    <w:rsid w:val="00067C5A"/>
    <w:rsid w:val="00070024"/>
    <w:rsid w:val="00073815"/>
    <w:rsid w:val="0007454F"/>
    <w:rsid w:val="00075FBB"/>
    <w:rsid w:val="00077A67"/>
    <w:rsid w:val="00080BDB"/>
    <w:rsid w:val="00083675"/>
    <w:rsid w:val="00091043"/>
    <w:rsid w:val="00096C12"/>
    <w:rsid w:val="00096FB9"/>
    <w:rsid w:val="000A12FB"/>
    <w:rsid w:val="000A24A5"/>
    <w:rsid w:val="000A35B5"/>
    <w:rsid w:val="000A5135"/>
    <w:rsid w:val="000A7846"/>
    <w:rsid w:val="000B0C6B"/>
    <w:rsid w:val="000B0F2F"/>
    <w:rsid w:val="000B4F0D"/>
    <w:rsid w:val="000B5223"/>
    <w:rsid w:val="000B6EDB"/>
    <w:rsid w:val="000C17BA"/>
    <w:rsid w:val="000C17EE"/>
    <w:rsid w:val="000C2827"/>
    <w:rsid w:val="000D454B"/>
    <w:rsid w:val="000E0966"/>
    <w:rsid w:val="000E2CCD"/>
    <w:rsid w:val="000E2FB8"/>
    <w:rsid w:val="000E501B"/>
    <w:rsid w:val="000F45D6"/>
    <w:rsid w:val="000F54B4"/>
    <w:rsid w:val="000F6314"/>
    <w:rsid w:val="001002AE"/>
    <w:rsid w:val="00100ABA"/>
    <w:rsid w:val="00104872"/>
    <w:rsid w:val="00106C3B"/>
    <w:rsid w:val="00107851"/>
    <w:rsid w:val="00107BB4"/>
    <w:rsid w:val="0011347F"/>
    <w:rsid w:val="00114413"/>
    <w:rsid w:val="0011495C"/>
    <w:rsid w:val="00120B99"/>
    <w:rsid w:val="00120BD0"/>
    <w:rsid w:val="001213CD"/>
    <w:rsid w:val="001256C7"/>
    <w:rsid w:val="00125B29"/>
    <w:rsid w:val="00130684"/>
    <w:rsid w:val="00130FD4"/>
    <w:rsid w:val="001336F5"/>
    <w:rsid w:val="0013467A"/>
    <w:rsid w:val="001402FD"/>
    <w:rsid w:val="00142655"/>
    <w:rsid w:val="0014340A"/>
    <w:rsid w:val="00143F37"/>
    <w:rsid w:val="001441BE"/>
    <w:rsid w:val="00144D32"/>
    <w:rsid w:val="00145867"/>
    <w:rsid w:val="00145BC4"/>
    <w:rsid w:val="001476A6"/>
    <w:rsid w:val="00156AEB"/>
    <w:rsid w:val="00157FE7"/>
    <w:rsid w:val="001603B3"/>
    <w:rsid w:val="001605ED"/>
    <w:rsid w:val="001637DC"/>
    <w:rsid w:val="00163CA7"/>
    <w:rsid w:val="00166C51"/>
    <w:rsid w:val="00167B60"/>
    <w:rsid w:val="0017112B"/>
    <w:rsid w:val="00175F31"/>
    <w:rsid w:val="00177631"/>
    <w:rsid w:val="001778B4"/>
    <w:rsid w:val="001779BE"/>
    <w:rsid w:val="001803B8"/>
    <w:rsid w:val="0018689C"/>
    <w:rsid w:val="001934D4"/>
    <w:rsid w:val="0019431E"/>
    <w:rsid w:val="00196895"/>
    <w:rsid w:val="001A1048"/>
    <w:rsid w:val="001A55D5"/>
    <w:rsid w:val="001A5F37"/>
    <w:rsid w:val="001A5F93"/>
    <w:rsid w:val="001B178F"/>
    <w:rsid w:val="001B2185"/>
    <w:rsid w:val="001B3F37"/>
    <w:rsid w:val="001B611D"/>
    <w:rsid w:val="001B7CA0"/>
    <w:rsid w:val="001C3AEA"/>
    <w:rsid w:val="001C535E"/>
    <w:rsid w:val="001D18A5"/>
    <w:rsid w:val="001D26F6"/>
    <w:rsid w:val="001D3B35"/>
    <w:rsid w:val="001D6C46"/>
    <w:rsid w:val="001D79B8"/>
    <w:rsid w:val="001E2856"/>
    <w:rsid w:val="001F2F44"/>
    <w:rsid w:val="001F3ED8"/>
    <w:rsid w:val="002001C0"/>
    <w:rsid w:val="002049F4"/>
    <w:rsid w:val="00204A62"/>
    <w:rsid w:val="00205BE4"/>
    <w:rsid w:val="002071E4"/>
    <w:rsid w:val="00210C8F"/>
    <w:rsid w:val="002111D8"/>
    <w:rsid w:val="002138B0"/>
    <w:rsid w:val="002145D9"/>
    <w:rsid w:val="00217A5F"/>
    <w:rsid w:val="002212E3"/>
    <w:rsid w:val="00227CAD"/>
    <w:rsid w:val="00235F0C"/>
    <w:rsid w:val="00241CE7"/>
    <w:rsid w:val="002422A9"/>
    <w:rsid w:val="002444F0"/>
    <w:rsid w:val="00244D7C"/>
    <w:rsid w:val="0024787C"/>
    <w:rsid w:val="00255B89"/>
    <w:rsid w:val="00261500"/>
    <w:rsid w:val="002618D4"/>
    <w:rsid w:val="0026424D"/>
    <w:rsid w:val="0026787D"/>
    <w:rsid w:val="00270889"/>
    <w:rsid w:val="00275949"/>
    <w:rsid w:val="002814D4"/>
    <w:rsid w:val="00281C8C"/>
    <w:rsid w:val="00282BE4"/>
    <w:rsid w:val="00286A31"/>
    <w:rsid w:val="00291E15"/>
    <w:rsid w:val="002972D2"/>
    <w:rsid w:val="002A441D"/>
    <w:rsid w:val="002A6DF5"/>
    <w:rsid w:val="002A79E3"/>
    <w:rsid w:val="002A7CD5"/>
    <w:rsid w:val="002B0B75"/>
    <w:rsid w:val="002B6FE5"/>
    <w:rsid w:val="002C006F"/>
    <w:rsid w:val="002C0825"/>
    <w:rsid w:val="002C163F"/>
    <w:rsid w:val="002C25C9"/>
    <w:rsid w:val="002C3602"/>
    <w:rsid w:val="002C450E"/>
    <w:rsid w:val="002C6DC8"/>
    <w:rsid w:val="002D0874"/>
    <w:rsid w:val="002D2306"/>
    <w:rsid w:val="002D6536"/>
    <w:rsid w:val="002E1030"/>
    <w:rsid w:val="002E2B13"/>
    <w:rsid w:val="002E3CFF"/>
    <w:rsid w:val="002E40BB"/>
    <w:rsid w:val="002E559F"/>
    <w:rsid w:val="002F09F7"/>
    <w:rsid w:val="002F134E"/>
    <w:rsid w:val="002F23D7"/>
    <w:rsid w:val="002F2A01"/>
    <w:rsid w:val="002F36A6"/>
    <w:rsid w:val="002F49AB"/>
    <w:rsid w:val="002F6AA2"/>
    <w:rsid w:val="002F766F"/>
    <w:rsid w:val="002F7AAC"/>
    <w:rsid w:val="00300BD7"/>
    <w:rsid w:val="0030798C"/>
    <w:rsid w:val="00310065"/>
    <w:rsid w:val="00311E36"/>
    <w:rsid w:val="00315972"/>
    <w:rsid w:val="00316B32"/>
    <w:rsid w:val="00317469"/>
    <w:rsid w:val="00321AC7"/>
    <w:rsid w:val="0032637B"/>
    <w:rsid w:val="00326DDC"/>
    <w:rsid w:val="0032704B"/>
    <w:rsid w:val="003308F3"/>
    <w:rsid w:val="003328BE"/>
    <w:rsid w:val="00332FC6"/>
    <w:rsid w:val="00335B33"/>
    <w:rsid w:val="0033617A"/>
    <w:rsid w:val="00341BFA"/>
    <w:rsid w:val="00346263"/>
    <w:rsid w:val="00346E23"/>
    <w:rsid w:val="00362E58"/>
    <w:rsid w:val="00363F28"/>
    <w:rsid w:val="0036792A"/>
    <w:rsid w:val="003700F6"/>
    <w:rsid w:val="00373464"/>
    <w:rsid w:val="0037567B"/>
    <w:rsid w:val="003756BD"/>
    <w:rsid w:val="00375CA8"/>
    <w:rsid w:val="00376855"/>
    <w:rsid w:val="00383BE8"/>
    <w:rsid w:val="00384C57"/>
    <w:rsid w:val="0039091E"/>
    <w:rsid w:val="00397D29"/>
    <w:rsid w:val="00397D82"/>
    <w:rsid w:val="003A64CF"/>
    <w:rsid w:val="003B33FE"/>
    <w:rsid w:val="003B7BE4"/>
    <w:rsid w:val="003C2A9E"/>
    <w:rsid w:val="003C3036"/>
    <w:rsid w:val="003C4FC7"/>
    <w:rsid w:val="003C62E3"/>
    <w:rsid w:val="003D0250"/>
    <w:rsid w:val="003D463A"/>
    <w:rsid w:val="003D5B92"/>
    <w:rsid w:val="003E1E0A"/>
    <w:rsid w:val="003E6F62"/>
    <w:rsid w:val="003F0141"/>
    <w:rsid w:val="003F1027"/>
    <w:rsid w:val="003F3CB5"/>
    <w:rsid w:val="003F6014"/>
    <w:rsid w:val="003F61CB"/>
    <w:rsid w:val="004026FE"/>
    <w:rsid w:val="00407542"/>
    <w:rsid w:val="00407ACA"/>
    <w:rsid w:val="00410D26"/>
    <w:rsid w:val="00412503"/>
    <w:rsid w:val="00413743"/>
    <w:rsid w:val="004144A1"/>
    <w:rsid w:val="0041741A"/>
    <w:rsid w:val="00423007"/>
    <w:rsid w:val="00430083"/>
    <w:rsid w:val="004367AB"/>
    <w:rsid w:val="00440552"/>
    <w:rsid w:val="00442771"/>
    <w:rsid w:val="004429C4"/>
    <w:rsid w:val="00445031"/>
    <w:rsid w:val="00450A49"/>
    <w:rsid w:val="004518F9"/>
    <w:rsid w:val="00452E37"/>
    <w:rsid w:val="00453069"/>
    <w:rsid w:val="004547E4"/>
    <w:rsid w:val="0045627E"/>
    <w:rsid w:val="00457344"/>
    <w:rsid w:val="00460BFD"/>
    <w:rsid w:val="00460F27"/>
    <w:rsid w:val="00461097"/>
    <w:rsid w:val="00461866"/>
    <w:rsid w:val="00462006"/>
    <w:rsid w:val="00463729"/>
    <w:rsid w:val="004657B7"/>
    <w:rsid w:val="00466444"/>
    <w:rsid w:val="00476925"/>
    <w:rsid w:val="00476F65"/>
    <w:rsid w:val="00477615"/>
    <w:rsid w:val="0048274E"/>
    <w:rsid w:val="0048711F"/>
    <w:rsid w:val="00491E17"/>
    <w:rsid w:val="004940D6"/>
    <w:rsid w:val="004A02F1"/>
    <w:rsid w:val="004A1051"/>
    <w:rsid w:val="004A457B"/>
    <w:rsid w:val="004B1FAD"/>
    <w:rsid w:val="004B6933"/>
    <w:rsid w:val="004C138F"/>
    <w:rsid w:val="004C24D6"/>
    <w:rsid w:val="004C28F1"/>
    <w:rsid w:val="004C29CA"/>
    <w:rsid w:val="004C38FB"/>
    <w:rsid w:val="004C3D00"/>
    <w:rsid w:val="004C5CD8"/>
    <w:rsid w:val="004C64C4"/>
    <w:rsid w:val="004D2041"/>
    <w:rsid w:val="004D26B3"/>
    <w:rsid w:val="004D2807"/>
    <w:rsid w:val="004D749E"/>
    <w:rsid w:val="004D766B"/>
    <w:rsid w:val="004F0007"/>
    <w:rsid w:val="004F0969"/>
    <w:rsid w:val="004F1F0D"/>
    <w:rsid w:val="004F6279"/>
    <w:rsid w:val="004F6917"/>
    <w:rsid w:val="004F6FFC"/>
    <w:rsid w:val="00500EE9"/>
    <w:rsid w:val="00501F8E"/>
    <w:rsid w:val="00502665"/>
    <w:rsid w:val="005043A2"/>
    <w:rsid w:val="00511855"/>
    <w:rsid w:val="005155FF"/>
    <w:rsid w:val="005164C9"/>
    <w:rsid w:val="00517ABF"/>
    <w:rsid w:val="005238F6"/>
    <w:rsid w:val="005243DD"/>
    <w:rsid w:val="00526CAF"/>
    <w:rsid w:val="00530923"/>
    <w:rsid w:val="005329E6"/>
    <w:rsid w:val="005373C0"/>
    <w:rsid w:val="00541885"/>
    <w:rsid w:val="00542D1E"/>
    <w:rsid w:val="0054570A"/>
    <w:rsid w:val="005545C7"/>
    <w:rsid w:val="005548B3"/>
    <w:rsid w:val="005559C4"/>
    <w:rsid w:val="00560013"/>
    <w:rsid w:val="005601CB"/>
    <w:rsid w:val="00560EC5"/>
    <w:rsid w:val="00560EF3"/>
    <w:rsid w:val="00563CDB"/>
    <w:rsid w:val="005716C4"/>
    <w:rsid w:val="005819D4"/>
    <w:rsid w:val="00582427"/>
    <w:rsid w:val="00582F47"/>
    <w:rsid w:val="00583141"/>
    <w:rsid w:val="00583742"/>
    <w:rsid w:val="00584E98"/>
    <w:rsid w:val="00587C4D"/>
    <w:rsid w:val="00594497"/>
    <w:rsid w:val="00594745"/>
    <w:rsid w:val="005972DD"/>
    <w:rsid w:val="005A1081"/>
    <w:rsid w:val="005A17F3"/>
    <w:rsid w:val="005A24C9"/>
    <w:rsid w:val="005A4397"/>
    <w:rsid w:val="005A7D3A"/>
    <w:rsid w:val="005B2E25"/>
    <w:rsid w:val="005B5D87"/>
    <w:rsid w:val="005C4D68"/>
    <w:rsid w:val="005C6DBD"/>
    <w:rsid w:val="005D14A5"/>
    <w:rsid w:val="005D41CC"/>
    <w:rsid w:val="005E0051"/>
    <w:rsid w:val="005E018E"/>
    <w:rsid w:val="005E17DF"/>
    <w:rsid w:val="005E51D7"/>
    <w:rsid w:val="005E5652"/>
    <w:rsid w:val="005E62D4"/>
    <w:rsid w:val="005E6626"/>
    <w:rsid w:val="005E667C"/>
    <w:rsid w:val="005F1180"/>
    <w:rsid w:val="00604EC2"/>
    <w:rsid w:val="0060538C"/>
    <w:rsid w:val="00607844"/>
    <w:rsid w:val="00610D01"/>
    <w:rsid w:val="00611868"/>
    <w:rsid w:val="0061419E"/>
    <w:rsid w:val="00616982"/>
    <w:rsid w:val="006222FC"/>
    <w:rsid w:val="00623732"/>
    <w:rsid w:val="00625275"/>
    <w:rsid w:val="00627ABD"/>
    <w:rsid w:val="0063336D"/>
    <w:rsid w:val="00635A66"/>
    <w:rsid w:val="00635B3B"/>
    <w:rsid w:val="006372AE"/>
    <w:rsid w:val="0064534C"/>
    <w:rsid w:val="00645956"/>
    <w:rsid w:val="00646F60"/>
    <w:rsid w:val="00653008"/>
    <w:rsid w:val="00653455"/>
    <w:rsid w:val="00653597"/>
    <w:rsid w:val="006539F5"/>
    <w:rsid w:val="00655E2E"/>
    <w:rsid w:val="006615C4"/>
    <w:rsid w:val="006675EB"/>
    <w:rsid w:val="00676181"/>
    <w:rsid w:val="0068131F"/>
    <w:rsid w:val="006813DA"/>
    <w:rsid w:val="006834D7"/>
    <w:rsid w:val="00691AC2"/>
    <w:rsid w:val="00694BDB"/>
    <w:rsid w:val="006A34C1"/>
    <w:rsid w:val="006A3DDC"/>
    <w:rsid w:val="006A4261"/>
    <w:rsid w:val="006A6593"/>
    <w:rsid w:val="006A779E"/>
    <w:rsid w:val="006B12CA"/>
    <w:rsid w:val="006C522B"/>
    <w:rsid w:val="006C62BF"/>
    <w:rsid w:val="006C6F28"/>
    <w:rsid w:val="006D0C00"/>
    <w:rsid w:val="006D1310"/>
    <w:rsid w:val="006D4283"/>
    <w:rsid w:val="006D5233"/>
    <w:rsid w:val="006D537F"/>
    <w:rsid w:val="006D6B31"/>
    <w:rsid w:val="006E14C5"/>
    <w:rsid w:val="006E1864"/>
    <w:rsid w:val="006E2CCB"/>
    <w:rsid w:val="006F46F6"/>
    <w:rsid w:val="006F6517"/>
    <w:rsid w:val="006F69A1"/>
    <w:rsid w:val="00704A4C"/>
    <w:rsid w:val="00705BC2"/>
    <w:rsid w:val="007077B8"/>
    <w:rsid w:val="00711E39"/>
    <w:rsid w:val="00712E87"/>
    <w:rsid w:val="007137C7"/>
    <w:rsid w:val="00715E40"/>
    <w:rsid w:val="00716F82"/>
    <w:rsid w:val="00730785"/>
    <w:rsid w:val="00730AA9"/>
    <w:rsid w:val="00736B1A"/>
    <w:rsid w:val="007377F2"/>
    <w:rsid w:val="0074034A"/>
    <w:rsid w:val="0074351A"/>
    <w:rsid w:val="00744AA8"/>
    <w:rsid w:val="00747C4B"/>
    <w:rsid w:val="00751998"/>
    <w:rsid w:val="00757968"/>
    <w:rsid w:val="007629A1"/>
    <w:rsid w:val="00763205"/>
    <w:rsid w:val="00767329"/>
    <w:rsid w:val="00774D79"/>
    <w:rsid w:val="00777D91"/>
    <w:rsid w:val="00782234"/>
    <w:rsid w:val="00782E65"/>
    <w:rsid w:val="007867CE"/>
    <w:rsid w:val="007909C1"/>
    <w:rsid w:val="00792846"/>
    <w:rsid w:val="00793F68"/>
    <w:rsid w:val="00794336"/>
    <w:rsid w:val="007964CF"/>
    <w:rsid w:val="00797162"/>
    <w:rsid w:val="007A132E"/>
    <w:rsid w:val="007A2D8F"/>
    <w:rsid w:val="007A55AB"/>
    <w:rsid w:val="007A647D"/>
    <w:rsid w:val="007A797D"/>
    <w:rsid w:val="007A7999"/>
    <w:rsid w:val="007B0515"/>
    <w:rsid w:val="007B11AD"/>
    <w:rsid w:val="007B252D"/>
    <w:rsid w:val="007C0542"/>
    <w:rsid w:val="007C078F"/>
    <w:rsid w:val="007C0E56"/>
    <w:rsid w:val="007C4720"/>
    <w:rsid w:val="007D3F47"/>
    <w:rsid w:val="007D40AB"/>
    <w:rsid w:val="007D621A"/>
    <w:rsid w:val="007F1844"/>
    <w:rsid w:val="007F2866"/>
    <w:rsid w:val="007F6DE2"/>
    <w:rsid w:val="00801329"/>
    <w:rsid w:val="00814ACB"/>
    <w:rsid w:val="00820751"/>
    <w:rsid w:val="00821152"/>
    <w:rsid w:val="00822FAE"/>
    <w:rsid w:val="008258F2"/>
    <w:rsid w:val="00830A9D"/>
    <w:rsid w:val="00832F11"/>
    <w:rsid w:val="00834FF7"/>
    <w:rsid w:val="008370FC"/>
    <w:rsid w:val="00841487"/>
    <w:rsid w:val="00841D9F"/>
    <w:rsid w:val="00841FC6"/>
    <w:rsid w:val="00852B00"/>
    <w:rsid w:val="00855D12"/>
    <w:rsid w:val="00860763"/>
    <w:rsid w:val="008617CF"/>
    <w:rsid w:val="008637A8"/>
    <w:rsid w:val="00864607"/>
    <w:rsid w:val="008657EA"/>
    <w:rsid w:val="00871D3F"/>
    <w:rsid w:val="00871DF7"/>
    <w:rsid w:val="0087201E"/>
    <w:rsid w:val="00875818"/>
    <w:rsid w:val="00875C96"/>
    <w:rsid w:val="00876929"/>
    <w:rsid w:val="008774F8"/>
    <w:rsid w:val="00881B3E"/>
    <w:rsid w:val="00882C0A"/>
    <w:rsid w:val="00885ABC"/>
    <w:rsid w:val="0088600B"/>
    <w:rsid w:val="00887903"/>
    <w:rsid w:val="008919CB"/>
    <w:rsid w:val="00892D5D"/>
    <w:rsid w:val="00892E76"/>
    <w:rsid w:val="00893A77"/>
    <w:rsid w:val="0089406E"/>
    <w:rsid w:val="0089449A"/>
    <w:rsid w:val="00895965"/>
    <w:rsid w:val="008A3D55"/>
    <w:rsid w:val="008B1C41"/>
    <w:rsid w:val="008B23A0"/>
    <w:rsid w:val="008B40F1"/>
    <w:rsid w:val="008B68C1"/>
    <w:rsid w:val="008B716D"/>
    <w:rsid w:val="008C4FE3"/>
    <w:rsid w:val="008C7968"/>
    <w:rsid w:val="008C7FD0"/>
    <w:rsid w:val="008D667E"/>
    <w:rsid w:val="008D6AC0"/>
    <w:rsid w:val="008E0E0D"/>
    <w:rsid w:val="008E161C"/>
    <w:rsid w:val="008E23C8"/>
    <w:rsid w:val="008E261F"/>
    <w:rsid w:val="008F552C"/>
    <w:rsid w:val="008F6B27"/>
    <w:rsid w:val="008F7CBB"/>
    <w:rsid w:val="009030F1"/>
    <w:rsid w:val="0090389A"/>
    <w:rsid w:val="00903A87"/>
    <w:rsid w:val="00903F57"/>
    <w:rsid w:val="0090474A"/>
    <w:rsid w:val="00905A4A"/>
    <w:rsid w:val="00906A31"/>
    <w:rsid w:val="00910FCA"/>
    <w:rsid w:val="00911A1C"/>
    <w:rsid w:val="00912B25"/>
    <w:rsid w:val="00915FA3"/>
    <w:rsid w:val="00917D31"/>
    <w:rsid w:val="00921529"/>
    <w:rsid w:val="00923693"/>
    <w:rsid w:val="0092799D"/>
    <w:rsid w:val="00933581"/>
    <w:rsid w:val="009339CB"/>
    <w:rsid w:val="009350C0"/>
    <w:rsid w:val="00935E4A"/>
    <w:rsid w:val="009414ED"/>
    <w:rsid w:val="00942A54"/>
    <w:rsid w:val="0094498A"/>
    <w:rsid w:val="00947736"/>
    <w:rsid w:val="00950CD2"/>
    <w:rsid w:val="009524D1"/>
    <w:rsid w:val="009539A1"/>
    <w:rsid w:val="0095410E"/>
    <w:rsid w:val="009573DE"/>
    <w:rsid w:val="009579CE"/>
    <w:rsid w:val="00960F72"/>
    <w:rsid w:val="0096311C"/>
    <w:rsid w:val="00964BE7"/>
    <w:rsid w:val="009660DF"/>
    <w:rsid w:val="00967409"/>
    <w:rsid w:val="00972160"/>
    <w:rsid w:val="009731F3"/>
    <w:rsid w:val="00973F38"/>
    <w:rsid w:val="00982C18"/>
    <w:rsid w:val="009856EB"/>
    <w:rsid w:val="00985C6E"/>
    <w:rsid w:val="00986CBA"/>
    <w:rsid w:val="00987D4E"/>
    <w:rsid w:val="0099328A"/>
    <w:rsid w:val="00993A94"/>
    <w:rsid w:val="00994E1E"/>
    <w:rsid w:val="00997922"/>
    <w:rsid w:val="009A03C3"/>
    <w:rsid w:val="009A2086"/>
    <w:rsid w:val="009B1072"/>
    <w:rsid w:val="009B5E49"/>
    <w:rsid w:val="009B6BB0"/>
    <w:rsid w:val="009C0509"/>
    <w:rsid w:val="009C4B1B"/>
    <w:rsid w:val="009C4D67"/>
    <w:rsid w:val="009C7383"/>
    <w:rsid w:val="009D180D"/>
    <w:rsid w:val="009D2434"/>
    <w:rsid w:val="009D50FF"/>
    <w:rsid w:val="009E07BC"/>
    <w:rsid w:val="009E1326"/>
    <w:rsid w:val="009E3F0F"/>
    <w:rsid w:val="009E40E7"/>
    <w:rsid w:val="009E527B"/>
    <w:rsid w:val="009E5467"/>
    <w:rsid w:val="009F6843"/>
    <w:rsid w:val="009F6A12"/>
    <w:rsid w:val="009F782C"/>
    <w:rsid w:val="009F7CF9"/>
    <w:rsid w:val="00A018BD"/>
    <w:rsid w:val="00A02700"/>
    <w:rsid w:val="00A03409"/>
    <w:rsid w:val="00A03A25"/>
    <w:rsid w:val="00A0479B"/>
    <w:rsid w:val="00A04A1D"/>
    <w:rsid w:val="00A06F6A"/>
    <w:rsid w:val="00A11F9E"/>
    <w:rsid w:val="00A124E1"/>
    <w:rsid w:val="00A137D9"/>
    <w:rsid w:val="00A13CBB"/>
    <w:rsid w:val="00A15210"/>
    <w:rsid w:val="00A17C7F"/>
    <w:rsid w:val="00A24550"/>
    <w:rsid w:val="00A26230"/>
    <w:rsid w:val="00A308B6"/>
    <w:rsid w:val="00A30B38"/>
    <w:rsid w:val="00A30BC7"/>
    <w:rsid w:val="00A32038"/>
    <w:rsid w:val="00A33A59"/>
    <w:rsid w:val="00A34290"/>
    <w:rsid w:val="00A3514D"/>
    <w:rsid w:val="00A40CBD"/>
    <w:rsid w:val="00A44CA9"/>
    <w:rsid w:val="00A46B89"/>
    <w:rsid w:val="00A46E51"/>
    <w:rsid w:val="00A50442"/>
    <w:rsid w:val="00A50AB9"/>
    <w:rsid w:val="00A51DD3"/>
    <w:rsid w:val="00A533F5"/>
    <w:rsid w:val="00A60B27"/>
    <w:rsid w:val="00A65236"/>
    <w:rsid w:val="00A6714F"/>
    <w:rsid w:val="00A72F46"/>
    <w:rsid w:val="00A7361F"/>
    <w:rsid w:val="00A75C1D"/>
    <w:rsid w:val="00A767C2"/>
    <w:rsid w:val="00A77764"/>
    <w:rsid w:val="00A809EB"/>
    <w:rsid w:val="00A82857"/>
    <w:rsid w:val="00A84AC6"/>
    <w:rsid w:val="00A85C3D"/>
    <w:rsid w:val="00A90C80"/>
    <w:rsid w:val="00A94FCE"/>
    <w:rsid w:val="00A96A13"/>
    <w:rsid w:val="00A97106"/>
    <w:rsid w:val="00A97503"/>
    <w:rsid w:val="00AA39F5"/>
    <w:rsid w:val="00AA4A7F"/>
    <w:rsid w:val="00AA4DB5"/>
    <w:rsid w:val="00AA709B"/>
    <w:rsid w:val="00AA70C5"/>
    <w:rsid w:val="00AB079B"/>
    <w:rsid w:val="00AB2D15"/>
    <w:rsid w:val="00AB59CA"/>
    <w:rsid w:val="00AB5C27"/>
    <w:rsid w:val="00AB77EA"/>
    <w:rsid w:val="00AC00CD"/>
    <w:rsid w:val="00AC181C"/>
    <w:rsid w:val="00AC4E6F"/>
    <w:rsid w:val="00AD222F"/>
    <w:rsid w:val="00AD484C"/>
    <w:rsid w:val="00AD5F1E"/>
    <w:rsid w:val="00AE4F41"/>
    <w:rsid w:val="00AF3C5C"/>
    <w:rsid w:val="00B03D8F"/>
    <w:rsid w:val="00B055AE"/>
    <w:rsid w:val="00B05DD7"/>
    <w:rsid w:val="00B145D6"/>
    <w:rsid w:val="00B21A84"/>
    <w:rsid w:val="00B2223F"/>
    <w:rsid w:val="00B228DE"/>
    <w:rsid w:val="00B22C60"/>
    <w:rsid w:val="00B24DFA"/>
    <w:rsid w:val="00B31A8E"/>
    <w:rsid w:val="00B31F42"/>
    <w:rsid w:val="00B32A1E"/>
    <w:rsid w:val="00B3544C"/>
    <w:rsid w:val="00B35783"/>
    <w:rsid w:val="00B35829"/>
    <w:rsid w:val="00B37535"/>
    <w:rsid w:val="00B431C8"/>
    <w:rsid w:val="00B43D94"/>
    <w:rsid w:val="00B50F68"/>
    <w:rsid w:val="00B55B00"/>
    <w:rsid w:val="00B56DDD"/>
    <w:rsid w:val="00B62CD7"/>
    <w:rsid w:val="00B6794B"/>
    <w:rsid w:val="00B70443"/>
    <w:rsid w:val="00B70567"/>
    <w:rsid w:val="00B7076D"/>
    <w:rsid w:val="00B72106"/>
    <w:rsid w:val="00B72A46"/>
    <w:rsid w:val="00B72F5A"/>
    <w:rsid w:val="00B73F06"/>
    <w:rsid w:val="00B76C19"/>
    <w:rsid w:val="00B809AF"/>
    <w:rsid w:val="00B8204B"/>
    <w:rsid w:val="00B8485E"/>
    <w:rsid w:val="00B908C1"/>
    <w:rsid w:val="00B93FFF"/>
    <w:rsid w:val="00BB12A9"/>
    <w:rsid w:val="00BB142A"/>
    <w:rsid w:val="00BB3449"/>
    <w:rsid w:val="00BB476A"/>
    <w:rsid w:val="00BB684E"/>
    <w:rsid w:val="00BC107D"/>
    <w:rsid w:val="00BC2BE2"/>
    <w:rsid w:val="00BD26EF"/>
    <w:rsid w:val="00BD4C5D"/>
    <w:rsid w:val="00BF3768"/>
    <w:rsid w:val="00BF4E0B"/>
    <w:rsid w:val="00BF62A2"/>
    <w:rsid w:val="00C018C6"/>
    <w:rsid w:val="00C06728"/>
    <w:rsid w:val="00C06934"/>
    <w:rsid w:val="00C10815"/>
    <w:rsid w:val="00C115F1"/>
    <w:rsid w:val="00C1211A"/>
    <w:rsid w:val="00C13227"/>
    <w:rsid w:val="00C14A2A"/>
    <w:rsid w:val="00C153AC"/>
    <w:rsid w:val="00C15A4C"/>
    <w:rsid w:val="00C15D2F"/>
    <w:rsid w:val="00C20328"/>
    <w:rsid w:val="00C24CD3"/>
    <w:rsid w:val="00C33326"/>
    <w:rsid w:val="00C35295"/>
    <w:rsid w:val="00C378AF"/>
    <w:rsid w:val="00C46A96"/>
    <w:rsid w:val="00C46B08"/>
    <w:rsid w:val="00C51AD3"/>
    <w:rsid w:val="00C523BB"/>
    <w:rsid w:val="00C531A4"/>
    <w:rsid w:val="00C60610"/>
    <w:rsid w:val="00C62B94"/>
    <w:rsid w:val="00C63188"/>
    <w:rsid w:val="00C6589C"/>
    <w:rsid w:val="00C71605"/>
    <w:rsid w:val="00C723E5"/>
    <w:rsid w:val="00C770D9"/>
    <w:rsid w:val="00C81E5D"/>
    <w:rsid w:val="00C82801"/>
    <w:rsid w:val="00C83163"/>
    <w:rsid w:val="00C84460"/>
    <w:rsid w:val="00C86088"/>
    <w:rsid w:val="00C86DB2"/>
    <w:rsid w:val="00C87536"/>
    <w:rsid w:val="00C87D5C"/>
    <w:rsid w:val="00C9102F"/>
    <w:rsid w:val="00C92DC7"/>
    <w:rsid w:val="00C97645"/>
    <w:rsid w:val="00CA02A0"/>
    <w:rsid w:val="00CA031C"/>
    <w:rsid w:val="00CA0370"/>
    <w:rsid w:val="00CA2387"/>
    <w:rsid w:val="00CA343E"/>
    <w:rsid w:val="00CB5783"/>
    <w:rsid w:val="00CC10A1"/>
    <w:rsid w:val="00CC370F"/>
    <w:rsid w:val="00CC3BEF"/>
    <w:rsid w:val="00CC4125"/>
    <w:rsid w:val="00CC4EED"/>
    <w:rsid w:val="00CD0E73"/>
    <w:rsid w:val="00CD3617"/>
    <w:rsid w:val="00CD5590"/>
    <w:rsid w:val="00CE0288"/>
    <w:rsid w:val="00CE5A60"/>
    <w:rsid w:val="00CE679F"/>
    <w:rsid w:val="00CF4C43"/>
    <w:rsid w:val="00CF56DA"/>
    <w:rsid w:val="00D049BC"/>
    <w:rsid w:val="00D07A7C"/>
    <w:rsid w:val="00D1184E"/>
    <w:rsid w:val="00D14E50"/>
    <w:rsid w:val="00D1713F"/>
    <w:rsid w:val="00D203D1"/>
    <w:rsid w:val="00D219BB"/>
    <w:rsid w:val="00D237C9"/>
    <w:rsid w:val="00D24F4D"/>
    <w:rsid w:val="00D278F6"/>
    <w:rsid w:val="00D3250E"/>
    <w:rsid w:val="00D3266C"/>
    <w:rsid w:val="00D3498F"/>
    <w:rsid w:val="00D40B7A"/>
    <w:rsid w:val="00D40CEB"/>
    <w:rsid w:val="00D41098"/>
    <w:rsid w:val="00D455D4"/>
    <w:rsid w:val="00D50E0D"/>
    <w:rsid w:val="00D51B58"/>
    <w:rsid w:val="00D52219"/>
    <w:rsid w:val="00D5332D"/>
    <w:rsid w:val="00D57671"/>
    <w:rsid w:val="00D62510"/>
    <w:rsid w:val="00D704FB"/>
    <w:rsid w:val="00D756A9"/>
    <w:rsid w:val="00D80C76"/>
    <w:rsid w:val="00D814D2"/>
    <w:rsid w:val="00D824D8"/>
    <w:rsid w:val="00D85664"/>
    <w:rsid w:val="00D85EFD"/>
    <w:rsid w:val="00D86B38"/>
    <w:rsid w:val="00D91E20"/>
    <w:rsid w:val="00D93AA5"/>
    <w:rsid w:val="00D9769E"/>
    <w:rsid w:val="00DA0BEC"/>
    <w:rsid w:val="00DA0CE5"/>
    <w:rsid w:val="00DA3004"/>
    <w:rsid w:val="00DA34E8"/>
    <w:rsid w:val="00DB1107"/>
    <w:rsid w:val="00DB2596"/>
    <w:rsid w:val="00DB3B2B"/>
    <w:rsid w:val="00DB4FFE"/>
    <w:rsid w:val="00DB686C"/>
    <w:rsid w:val="00DC4B98"/>
    <w:rsid w:val="00DD055A"/>
    <w:rsid w:val="00DD117C"/>
    <w:rsid w:val="00DD188F"/>
    <w:rsid w:val="00DD3B32"/>
    <w:rsid w:val="00DD3B91"/>
    <w:rsid w:val="00DD3D3B"/>
    <w:rsid w:val="00DD4037"/>
    <w:rsid w:val="00DD546B"/>
    <w:rsid w:val="00DD56D6"/>
    <w:rsid w:val="00DD5ADA"/>
    <w:rsid w:val="00DD607D"/>
    <w:rsid w:val="00DD641A"/>
    <w:rsid w:val="00DD659C"/>
    <w:rsid w:val="00DD6EE5"/>
    <w:rsid w:val="00DD7C4D"/>
    <w:rsid w:val="00DE04F1"/>
    <w:rsid w:val="00DE236E"/>
    <w:rsid w:val="00DE3F90"/>
    <w:rsid w:val="00DE6468"/>
    <w:rsid w:val="00DE786B"/>
    <w:rsid w:val="00DF166D"/>
    <w:rsid w:val="00DF27DA"/>
    <w:rsid w:val="00E00482"/>
    <w:rsid w:val="00E03687"/>
    <w:rsid w:val="00E03C2D"/>
    <w:rsid w:val="00E03D2B"/>
    <w:rsid w:val="00E041C4"/>
    <w:rsid w:val="00E055FB"/>
    <w:rsid w:val="00E056F7"/>
    <w:rsid w:val="00E05AF4"/>
    <w:rsid w:val="00E068AA"/>
    <w:rsid w:val="00E06DA4"/>
    <w:rsid w:val="00E07985"/>
    <w:rsid w:val="00E10EE7"/>
    <w:rsid w:val="00E10F29"/>
    <w:rsid w:val="00E1190D"/>
    <w:rsid w:val="00E12AEA"/>
    <w:rsid w:val="00E141D1"/>
    <w:rsid w:val="00E147BF"/>
    <w:rsid w:val="00E14A6C"/>
    <w:rsid w:val="00E14B4A"/>
    <w:rsid w:val="00E16F69"/>
    <w:rsid w:val="00E22B4A"/>
    <w:rsid w:val="00E2613E"/>
    <w:rsid w:val="00E26B5A"/>
    <w:rsid w:val="00E30FFD"/>
    <w:rsid w:val="00E32A82"/>
    <w:rsid w:val="00E33A24"/>
    <w:rsid w:val="00E35717"/>
    <w:rsid w:val="00E36C8A"/>
    <w:rsid w:val="00E42131"/>
    <w:rsid w:val="00E46B5F"/>
    <w:rsid w:val="00E606C8"/>
    <w:rsid w:val="00E60A49"/>
    <w:rsid w:val="00E61DAA"/>
    <w:rsid w:val="00E65690"/>
    <w:rsid w:val="00E65836"/>
    <w:rsid w:val="00E66966"/>
    <w:rsid w:val="00E7169B"/>
    <w:rsid w:val="00E725AA"/>
    <w:rsid w:val="00E739D5"/>
    <w:rsid w:val="00E76CDB"/>
    <w:rsid w:val="00E77B45"/>
    <w:rsid w:val="00E8072B"/>
    <w:rsid w:val="00E8110E"/>
    <w:rsid w:val="00E82E5A"/>
    <w:rsid w:val="00E83D4F"/>
    <w:rsid w:val="00E923D9"/>
    <w:rsid w:val="00E92E60"/>
    <w:rsid w:val="00E94725"/>
    <w:rsid w:val="00E94DC3"/>
    <w:rsid w:val="00E95304"/>
    <w:rsid w:val="00E9745D"/>
    <w:rsid w:val="00EA05E0"/>
    <w:rsid w:val="00EA295F"/>
    <w:rsid w:val="00EA43E0"/>
    <w:rsid w:val="00EA5EB7"/>
    <w:rsid w:val="00EA717E"/>
    <w:rsid w:val="00EB0349"/>
    <w:rsid w:val="00EB16BC"/>
    <w:rsid w:val="00EB6AD8"/>
    <w:rsid w:val="00EC2733"/>
    <w:rsid w:val="00ED0212"/>
    <w:rsid w:val="00ED2863"/>
    <w:rsid w:val="00ED5901"/>
    <w:rsid w:val="00ED590D"/>
    <w:rsid w:val="00ED5F4D"/>
    <w:rsid w:val="00ED6ECB"/>
    <w:rsid w:val="00EE16E8"/>
    <w:rsid w:val="00EE258A"/>
    <w:rsid w:val="00EE322E"/>
    <w:rsid w:val="00EE5CCC"/>
    <w:rsid w:val="00EE6E6C"/>
    <w:rsid w:val="00EE7026"/>
    <w:rsid w:val="00EF18FA"/>
    <w:rsid w:val="00EF2B3C"/>
    <w:rsid w:val="00F00274"/>
    <w:rsid w:val="00F02825"/>
    <w:rsid w:val="00F0383B"/>
    <w:rsid w:val="00F03FD4"/>
    <w:rsid w:val="00F05979"/>
    <w:rsid w:val="00F07856"/>
    <w:rsid w:val="00F1234D"/>
    <w:rsid w:val="00F126C5"/>
    <w:rsid w:val="00F12BA6"/>
    <w:rsid w:val="00F1395D"/>
    <w:rsid w:val="00F13F46"/>
    <w:rsid w:val="00F1694B"/>
    <w:rsid w:val="00F22A14"/>
    <w:rsid w:val="00F24B5E"/>
    <w:rsid w:val="00F25FF8"/>
    <w:rsid w:val="00F31BAA"/>
    <w:rsid w:val="00F3278E"/>
    <w:rsid w:val="00F33DC7"/>
    <w:rsid w:val="00F3536A"/>
    <w:rsid w:val="00F36404"/>
    <w:rsid w:val="00F379B1"/>
    <w:rsid w:val="00F40C61"/>
    <w:rsid w:val="00F40FD6"/>
    <w:rsid w:val="00F42102"/>
    <w:rsid w:val="00F4379F"/>
    <w:rsid w:val="00F47B98"/>
    <w:rsid w:val="00F54047"/>
    <w:rsid w:val="00F54085"/>
    <w:rsid w:val="00F54474"/>
    <w:rsid w:val="00F560F9"/>
    <w:rsid w:val="00F5682B"/>
    <w:rsid w:val="00F5684F"/>
    <w:rsid w:val="00F569B0"/>
    <w:rsid w:val="00F60242"/>
    <w:rsid w:val="00F6069A"/>
    <w:rsid w:val="00F62D46"/>
    <w:rsid w:val="00F649E7"/>
    <w:rsid w:val="00F66148"/>
    <w:rsid w:val="00F7554F"/>
    <w:rsid w:val="00F777EB"/>
    <w:rsid w:val="00F8692E"/>
    <w:rsid w:val="00F8758D"/>
    <w:rsid w:val="00F87744"/>
    <w:rsid w:val="00F90C15"/>
    <w:rsid w:val="00F967FE"/>
    <w:rsid w:val="00F96C74"/>
    <w:rsid w:val="00F97CEA"/>
    <w:rsid w:val="00FA480A"/>
    <w:rsid w:val="00FA7E6E"/>
    <w:rsid w:val="00FB25D5"/>
    <w:rsid w:val="00FB59D3"/>
    <w:rsid w:val="00FB5E9D"/>
    <w:rsid w:val="00FB718E"/>
    <w:rsid w:val="00FC0971"/>
    <w:rsid w:val="00FC1293"/>
    <w:rsid w:val="00FC2744"/>
    <w:rsid w:val="00FC2C41"/>
    <w:rsid w:val="00FC776B"/>
    <w:rsid w:val="00FC77DA"/>
    <w:rsid w:val="00FC7BD5"/>
    <w:rsid w:val="00FD0130"/>
    <w:rsid w:val="00FD494A"/>
    <w:rsid w:val="00FD5C99"/>
    <w:rsid w:val="00FE0446"/>
    <w:rsid w:val="00FE1374"/>
    <w:rsid w:val="00FE20A0"/>
    <w:rsid w:val="00FE20DE"/>
    <w:rsid w:val="00FE591B"/>
    <w:rsid w:val="00FE6562"/>
    <w:rsid w:val="00FF5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6A1D6"/>
  <w15:docId w15:val="{D5072ECD-F026-0842-B79B-5D04EFE99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0"/>
    <w:lsdException w:name="Plain Table 2" w:uiPriority="0"/>
    <w:lsdException w:name="Plain Table 3" w:uiPriority="0"/>
    <w:lsdException w:name="Plain Table 4" w:uiPriority="44"/>
    <w:lsdException w:name="Plain Table 5" w:uiPriority="0"/>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006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BodyText"/>
    <w:link w:val="Heading2Char"/>
    <w:uiPriority w:val="9"/>
    <w:unhideWhenUsed/>
    <w:qFormat/>
    <w:rsid w:val="00BB142A"/>
    <w:pPr>
      <w:keepNext/>
      <w:keepLines/>
      <w:spacing w:before="20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BB142A"/>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unhideWhenUsed/>
    <w:qFormat/>
    <w:rsid w:val="00BB142A"/>
    <w:pPr>
      <w:keepNext/>
      <w:keepLines/>
      <w:spacing w:before="20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unhideWhenUsed/>
    <w:qFormat/>
    <w:rsid w:val="00BB142A"/>
    <w:pPr>
      <w:keepNext/>
      <w:keepLines/>
      <w:spacing w:before="20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unhideWhenUsed/>
    <w:qFormat/>
    <w:rsid w:val="00BB142A"/>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BB142A"/>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BB142A"/>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BB142A"/>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5373C0"/>
    <w:rPr>
      <w:color w:val="808080"/>
    </w:rPr>
  </w:style>
  <w:style w:type="paragraph" w:styleId="Header">
    <w:name w:val="header"/>
    <w:basedOn w:val="Normal"/>
    <w:link w:val="HeaderChar"/>
    <w:unhideWhenUsed/>
    <w:rsid w:val="009414ED"/>
    <w:pPr>
      <w:tabs>
        <w:tab w:val="center" w:pos="4680"/>
        <w:tab w:val="right" w:pos="9360"/>
      </w:tabs>
    </w:pPr>
  </w:style>
  <w:style w:type="character" w:customStyle="1" w:styleId="HeaderChar">
    <w:name w:val="Header Char"/>
    <w:basedOn w:val="DefaultParagraphFont"/>
    <w:link w:val="Header"/>
    <w:rsid w:val="009414ED"/>
  </w:style>
  <w:style w:type="paragraph" w:styleId="Footer">
    <w:name w:val="footer"/>
    <w:basedOn w:val="Normal"/>
    <w:link w:val="FooterChar"/>
    <w:unhideWhenUsed/>
    <w:rsid w:val="009414ED"/>
    <w:pPr>
      <w:tabs>
        <w:tab w:val="center" w:pos="4680"/>
        <w:tab w:val="right" w:pos="9360"/>
      </w:tabs>
    </w:pPr>
  </w:style>
  <w:style w:type="character" w:customStyle="1" w:styleId="FooterChar">
    <w:name w:val="Footer Char"/>
    <w:basedOn w:val="DefaultParagraphFont"/>
    <w:link w:val="Footer"/>
    <w:rsid w:val="009414ED"/>
  </w:style>
  <w:style w:type="character" w:styleId="PageNumber">
    <w:name w:val="page number"/>
    <w:basedOn w:val="DefaultParagraphFont"/>
    <w:semiHidden/>
    <w:unhideWhenUsed/>
    <w:rsid w:val="009414ED"/>
  </w:style>
  <w:style w:type="character" w:styleId="LineNumber">
    <w:name w:val="line number"/>
    <w:basedOn w:val="DefaultParagraphFont"/>
    <w:semiHidden/>
    <w:unhideWhenUsed/>
    <w:rsid w:val="009414ED"/>
  </w:style>
  <w:style w:type="paragraph" w:styleId="BodyText">
    <w:name w:val="Body Text"/>
    <w:basedOn w:val="Normal"/>
    <w:link w:val="BodyTextChar"/>
    <w:qFormat/>
    <w:rsid w:val="00255B89"/>
    <w:pPr>
      <w:spacing w:before="180" w:after="180"/>
    </w:pPr>
  </w:style>
  <w:style w:type="character" w:customStyle="1" w:styleId="BodyTextChar">
    <w:name w:val="Body Text Char"/>
    <w:basedOn w:val="DefaultParagraphFont"/>
    <w:link w:val="BodyText"/>
    <w:rsid w:val="00255B89"/>
  </w:style>
  <w:style w:type="paragraph" w:styleId="ListParagraph">
    <w:name w:val="List Paragraph"/>
    <w:basedOn w:val="Normal"/>
    <w:uiPriority w:val="34"/>
    <w:qFormat/>
    <w:rsid w:val="00177631"/>
    <w:pPr>
      <w:ind w:left="720"/>
      <w:contextualSpacing/>
    </w:pPr>
  </w:style>
  <w:style w:type="paragraph" w:styleId="NormalWeb">
    <w:name w:val="Normal (Web)"/>
    <w:basedOn w:val="Normal"/>
    <w:uiPriority w:val="99"/>
    <w:unhideWhenUsed/>
    <w:rsid w:val="0032704B"/>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AA70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006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D641A"/>
    <w:rPr>
      <w:color w:val="0563C1" w:themeColor="hyperlink"/>
      <w:u w:val="single"/>
    </w:rPr>
  </w:style>
  <w:style w:type="character" w:styleId="UnresolvedMention">
    <w:name w:val="Unresolved Mention"/>
    <w:basedOn w:val="DefaultParagraphFont"/>
    <w:uiPriority w:val="99"/>
    <w:rsid w:val="00DD641A"/>
    <w:rPr>
      <w:color w:val="605E5C"/>
      <w:shd w:val="clear" w:color="auto" w:fill="E1DFDD"/>
    </w:rPr>
  </w:style>
  <w:style w:type="character" w:styleId="FollowedHyperlink">
    <w:name w:val="FollowedHyperlink"/>
    <w:basedOn w:val="DefaultParagraphFont"/>
    <w:uiPriority w:val="99"/>
    <w:semiHidden/>
    <w:unhideWhenUsed/>
    <w:rsid w:val="00DD641A"/>
    <w:rPr>
      <w:color w:val="954F72" w:themeColor="followedHyperlink"/>
      <w:u w:val="single"/>
    </w:rPr>
  </w:style>
  <w:style w:type="character" w:styleId="CommentReference">
    <w:name w:val="annotation reference"/>
    <w:basedOn w:val="DefaultParagraphFont"/>
    <w:uiPriority w:val="99"/>
    <w:semiHidden/>
    <w:unhideWhenUsed/>
    <w:rsid w:val="00730785"/>
    <w:rPr>
      <w:sz w:val="16"/>
      <w:szCs w:val="16"/>
    </w:rPr>
  </w:style>
  <w:style w:type="paragraph" w:styleId="CommentText">
    <w:name w:val="annotation text"/>
    <w:basedOn w:val="Normal"/>
    <w:link w:val="CommentTextChar"/>
    <w:semiHidden/>
    <w:unhideWhenUsed/>
    <w:rsid w:val="00730785"/>
    <w:rPr>
      <w:sz w:val="20"/>
      <w:szCs w:val="20"/>
    </w:rPr>
  </w:style>
  <w:style w:type="character" w:customStyle="1" w:styleId="CommentTextChar">
    <w:name w:val="Comment Text Char"/>
    <w:basedOn w:val="DefaultParagraphFont"/>
    <w:link w:val="CommentText"/>
    <w:semiHidden/>
    <w:rsid w:val="00730785"/>
    <w:rPr>
      <w:sz w:val="20"/>
      <w:szCs w:val="20"/>
    </w:rPr>
  </w:style>
  <w:style w:type="paragraph" w:styleId="CommentSubject">
    <w:name w:val="annotation subject"/>
    <w:basedOn w:val="CommentText"/>
    <w:next w:val="CommentText"/>
    <w:link w:val="CommentSubjectChar"/>
    <w:semiHidden/>
    <w:unhideWhenUsed/>
    <w:rsid w:val="00730785"/>
    <w:rPr>
      <w:b/>
      <w:bCs/>
    </w:rPr>
  </w:style>
  <w:style w:type="character" w:customStyle="1" w:styleId="CommentSubjectChar">
    <w:name w:val="Comment Subject Char"/>
    <w:basedOn w:val="CommentTextChar"/>
    <w:link w:val="CommentSubject"/>
    <w:semiHidden/>
    <w:rsid w:val="00730785"/>
    <w:rPr>
      <w:b/>
      <w:bCs/>
      <w:sz w:val="20"/>
      <w:szCs w:val="20"/>
    </w:rPr>
  </w:style>
  <w:style w:type="character" w:customStyle="1" w:styleId="Heading2Char">
    <w:name w:val="Heading 2 Char"/>
    <w:basedOn w:val="DefaultParagraphFont"/>
    <w:link w:val="Heading2"/>
    <w:uiPriority w:val="9"/>
    <w:rsid w:val="00BB142A"/>
    <w:rPr>
      <w:rFonts w:asciiTheme="majorHAnsi" w:eastAsiaTheme="majorEastAsia" w:hAnsiTheme="majorHAnsi" w:cstheme="majorBidi"/>
      <w:b/>
      <w:bCs/>
      <w:color w:val="4472C4" w:themeColor="accent1"/>
      <w:sz w:val="28"/>
      <w:szCs w:val="28"/>
    </w:rPr>
  </w:style>
  <w:style w:type="character" w:customStyle="1" w:styleId="Heading3Char">
    <w:name w:val="Heading 3 Char"/>
    <w:basedOn w:val="DefaultParagraphFont"/>
    <w:link w:val="Heading3"/>
    <w:uiPriority w:val="9"/>
    <w:rsid w:val="00BB142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BB142A"/>
    <w:rPr>
      <w:rFonts w:asciiTheme="majorHAnsi" w:eastAsiaTheme="majorEastAsia" w:hAnsiTheme="majorHAnsi" w:cstheme="majorBidi"/>
      <w:bCs/>
      <w:i/>
      <w:color w:val="4472C4" w:themeColor="accent1"/>
    </w:rPr>
  </w:style>
  <w:style w:type="character" w:customStyle="1" w:styleId="Heading5Char">
    <w:name w:val="Heading 5 Char"/>
    <w:basedOn w:val="DefaultParagraphFont"/>
    <w:link w:val="Heading5"/>
    <w:uiPriority w:val="9"/>
    <w:rsid w:val="00BB142A"/>
    <w:rPr>
      <w:rFonts w:asciiTheme="majorHAnsi" w:eastAsiaTheme="majorEastAsia" w:hAnsiTheme="majorHAnsi" w:cstheme="majorBidi"/>
      <w:iCs/>
      <w:color w:val="4472C4" w:themeColor="accent1"/>
    </w:rPr>
  </w:style>
  <w:style w:type="character" w:customStyle="1" w:styleId="Heading6Char">
    <w:name w:val="Heading 6 Char"/>
    <w:basedOn w:val="DefaultParagraphFont"/>
    <w:link w:val="Heading6"/>
    <w:uiPriority w:val="9"/>
    <w:rsid w:val="00BB142A"/>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uiPriority w:val="9"/>
    <w:rsid w:val="00BB142A"/>
    <w:rPr>
      <w:rFonts w:asciiTheme="majorHAnsi" w:eastAsiaTheme="majorEastAsia" w:hAnsiTheme="majorHAnsi" w:cstheme="majorBidi"/>
      <w:color w:val="4472C4" w:themeColor="accent1"/>
    </w:rPr>
  </w:style>
  <w:style w:type="character" w:customStyle="1" w:styleId="Heading8Char">
    <w:name w:val="Heading 8 Char"/>
    <w:basedOn w:val="DefaultParagraphFont"/>
    <w:link w:val="Heading8"/>
    <w:uiPriority w:val="9"/>
    <w:rsid w:val="00BB142A"/>
    <w:rPr>
      <w:rFonts w:asciiTheme="majorHAnsi" w:eastAsiaTheme="majorEastAsia" w:hAnsiTheme="majorHAnsi" w:cstheme="majorBidi"/>
      <w:color w:val="4472C4" w:themeColor="accent1"/>
    </w:rPr>
  </w:style>
  <w:style w:type="character" w:customStyle="1" w:styleId="Heading9Char">
    <w:name w:val="Heading 9 Char"/>
    <w:basedOn w:val="DefaultParagraphFont"/>
    <w:link w:val="Heading9"/>
    <w:uiPriority w:val="9"/>
    <w:rsid w:val="00BB142A"/>
    <w:rPr>
      <w:rFonts w:asciiTheme="majorHAnsi" w:eastAsiaTheme="majorEastAsia" w:hAnsiTheme="majorHAnsi" w:cstheme="majorBidi"/>
      <w:color w:val="4472C4" w:themeColor="accent1"/>
    </w:rPr>
  </w:style>
  <w:style w:type="paragraph" w:customStyle="1" w:styleId="FirstParagraph">
    <w:name w:val="First Paragraph"/>
    <w:basedOn w:val="BodyText"/>
    <w:next w:val="BodyText"/>
    <w:qFormat/>
    <w:rsid w:val="00BB142A"/>
  </w:style>
  <w:style w:type="paragraph" w:customStyle="1" w:styleId="Compact">
    <w:name w:val="Compact"/>
    <w:basedOn w:val="BodyText"/>
    <w:qFormat/>
    <w:rsid w:val="00BB142A"/>
    <w:pPr>
      <w:spacing w:before="36" w:after="36"/>
    </w:pPr>
  </w:style>
  <w:style w:type="paragraph" w:styleId="Title">
    <w:name w:val="Title"/>
    <w:basedOn w:val="Normal"/>
    <w:next w:val="BodyText"/>
    <w:link w:val="TitleChar"/>
    <w:qFormat/>
    <w:rsid w:val="00BB142A"/>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BB142A"/>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BB142A"/>
    <w:pPr>
      <w:spacing w:before="240"/>
    </w:pPr>
    <w:rPr>
      <w:sz w:val="30"/>
      <w:szCs w:val="30"/>
    </w:rPr>
  </w:style>
  <w:style w:type="character" w:customStyle="1" w:styleId="SubtitleChar">
    <w:name w:val="Subtitle Char"/>
    <w:basedOn w:val="DefaultParagraphFont"/>
    <w:link w:val="Subtitle"/>
    <w:rsid w:val="00BB142A"/>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BB142A"/>
    <w:pPr>
      <w:keepNext/>
      <w:keepLines/>
      <w:spacing w:after="200"/>
      <w:jc w:val="center"/>
    </w:pPr>
  </w:style>
  <w:style w:type="paragraph" w:styleId="Date">
    <w:name w:val="Date"/>
    <w:next w:val="BodyText"/>
    <w:link w:val="DateChar"/>
    <w:qFormat/>
    <w:rsid w:val="00BB142A"/>
    <w:pPr>
      <w:keepNext/>
      <w:keepLines/>
      <w:spacing w:after="200"/>
      <w:jc w:val="center"/>
    </w:pPr>
  </w:style>
  <w:style w:type="character" w:customStyle="1" w:styleId="DateChar">
    <w:name w:val="Date Char"/>
    <w:basedOn w:val="DefaultParagraphFont"/>
    <w:link w:val="Date"/>
    <w:rsid w:val="00BB142A"/>
  </w:style>
  <w:style w:type="paragraph" w:customStyle="1" w:styleId="Abstract">
    <w:name w:val="Abstract"/>
    <w:basedOn w:val="Normal"/>
    <w:next w:val="BodyText"/>
    <w:qFormat/>
    <w:rsid w:val="00BB142A"/>
    <w:pPr>
      <w:keepNext/>
      <w:keepLines/>
      <w:spacing w:before="300" w:after="300"/>
    </w:pPr>
    <w:rPr>
      <w:sz w:val="20"/>
      <w:szCs w:val="20"/>
    </w:rPr>
  </w:style>
  <w:style w:type="paragraph" w:styleId="Bibliography">
    <w:name w:val="Bibliography"/>
    <w:basedOn w:val="Normal"/>
    <w:qFormat/>
    <w:rsid w:val="00BB142A"/>
  </w:style>
  <w:style w:type="paragraph" w:styleId="BlockText">
    <w:name w:val="Block Text"/>
    <w:basedOn w:val="BodyText"/>
    <w:next w:val="BodyText"/>
    <w:uiPriority w:val="9"/>
    <w:unhideWhenUsed/>
    <w:qFormat/>
    <w:rsid w:val="00BB142A"/>
    <w:pPr>
      <w:spacing w:before="100" w:after="100"/>
      <w:ind w:left="480" w:right="480"/>
    </w:pPr>
  </w:style>
  <w:style w:type="paragraph" w:styleId="FootnoteText">
    <w:name w:val="footnote text"/>
    <w:basedOn w:val="Normal"/>
    <w:link w:val="FootnoteTextChar"/>
    <w:uiPriority w:val="9"/>
    <w:unhideWhenUsed/>
    <w:qFormat/>
    <w:rsid w:val="00BB142A"/>
  </w:style>
  <w:style w:type="character" w:customStyle="1" w:styleId="FootnoteTextChar">
    <w:name w:val="Footnote Text Char"/>
    <w:basedOn w:val="DefaultParagraphFont"/>
    <w:link w:val="FootnoteText"/>
    <w:uiPriority w:val="9"/>
    <w:rsid w:val="00BB142A"/>
  </w:style>
  <w:style w:type="table" w:customStyle="1" w:styleId="Table">
    <w:name w:val="Table"/>
    <w:semiHidden/>
    <w:unhideWhenUsed/>
    <w:qFormat/>
    <w:rsid w:val="00BB142A"/>
    <w:pPr>
      <w:spacing w:after="200"/>
    </w:p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BB142A"/>
    <w:pPr>
      <w:keepNext/>
      <w:keepLines/>
    </w:pPr>
    <w:rPr>
      <w:b/>
    </w:rPr>
  </w:style>
  <w:style w:type="paragraph" w:customStyle="1" w:styleId="Definition">
    <w:name w:val="Definition"/>
    <w:basedOn w:val="Normal"/>
    <w:rsid w:val="00BB142A"/>
  </w:style>
  <w:style w:type="paragraph" w:styleId="Caption">
    <w:name w:val="caption"/>
    <w:basedOn w:val="Normal"/>
    <w:link w:val="CaptionChar"/>
    <w:rsid w:val="00BB142A"/>
    <w:pPr>
      <w:spacing w:after="120"/>
    </w:pPr>
    <w:rPr>
      <w:i/>
    </w:rPr>
  </w:style>
  <w:style w:type="paragraph" w:customStyle="1" w:styleId="TableCaption">
    <w:name w:val="Table Caption"/>
    <w:basedOn w:val="Caption"/>
    <w:rsid w:val="00BB142A"/>
    <w:pPr>
      <w:keepNext/>
    </w:pPr>
  </w:style>
  <w:style w:type="paragraph" w:customStyle="1" w:styleId="ImageCaption">
    <w:name w:val="Image Caption"/>
    <w:basedOn w:val="Caption"/>
    <w:rsid w:val="00BB142A"/>
  </w:style>
  <w:style w:type="paragraph" w:customStyle="1" w:styleId="Figure">
    <w:name w:val="Figure"/>
    <w:basedOn w:val="Normal"/>
    <w:rsid w:val="00BB142A"/>
  </w:style>
  <w:style w:type="paragraph" w:customStyle="1" w:styleId="CaptionedFigure">
    <w:name w:val="Captioned Figure"/>
    <w:basedOn w:val="Figure"/>
    <w:rsid w:val="00BB142A"/>
    <w:pPr>
      <w:keepNext/>
    </w:pPr>
  </w:style>
  <w:style w:type="character" w:customStyle="1" w:styleId="CaptionChar">
    <w:name w:val="Caption Char"/>
    <w:basedOn w:val="DefaultParagraphFont"/>
    <w:link w:val="Caption"/>
    <w:rsid w:val="00BB142A"/>
    <w:rPr>
      <w:i/>
    </w:rPr>
  </w:style>
  <w:style w:type="character" w:customStyle="1" w:styleId="VerbatimChar">
    <w:name w:val="Verbatim Char"/>
    <w:basedOn w:val="CaptionChar"/>
    <w:link w:val="SourceCode"/>
    <w:rsid w:val="00BB142A"/>
    <w:rPr>
      <w:rFonts w:ascii="Consolas" w:hAnsi="Consolas"/>
      <w:i/>
      <w:sz w:val="22"/>
    </w:rPr>
  </w:style>
  <w:style w:type="character" w:customStyle="1" w:styleId="SectionNumber">
    <w:name w:val="Section Number"/>
    <w:basedOn w:val="CaptionChar"/>
    <w:rsid w:val="00BB142A"/>
    <w:rPr>
      <w:i/>
    </w:rPr>
  </w:style>
  <w:style w:type="character" w:styleId="FootnoteReference">
    <w:name w:val="footnote reference"/>
    <w:basedOn w:val="CaptionChar"/>
    <w:rsid w:val="00BB142A"/>
    <w:rPr>
      <w:i/>
      <w:vertAlign w:val="superscript"/>
    </w:rPr>
  </w:style>
  <w:style w:type="paragraph" w:styleId="TOCHeading">
    <w:name w:val="TOC Heading"/>
    <w:basedOn w:val="Heading1"/>
    <w:next w:val="BodyText"/>
    <w:uiPriority w:val="39"/>
    <w:unhideWhenUsed/>
    <w:qFormat/>
    <w:rsid w:val="00BB142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SourceCode">
    <w:name w:val="Source Code"/>
    <w:basedOn w:val="Normal"/>
    <w:link w:val="VerbatimChar"/>
    <w:rsid w:val="00BB142A"/>
    <w:pPr>
      <w:wordWrap w:val="0"/>
    </w:pPr>
    <w:rPr>
      <w:rFonts w:ascii="Consolas" w:hAnsi="Consolas"/>
      <w:i/>
      <w:sz w:val="22"/>
    </w:rPr>
  </w:style>
  <w:style w:type="character" w:customStyle="1" w:styleId="KeywordTok">
    <w:name w:val="KeywordTok"/>
    <w:basedOn w:val="VerbatimChar"/>
    <w:rsid w:val="00BB142A"/>
    <w:rPr>
      <w:rFonts w:ascii="Consolas" w:hAnsi="Consolas"/>
      <w:b/>
      <w:i/>
      <w:color w:val="007020"/>
      <w:sz w:val="22"/>
    </w:rPr>
  </w:style>
  <w:style w:type="character" w:customStyle="1" w:styleId="DataTypeTok">
    <w:name w:val="DataTypeTok"/>
    <w:basedOn w:val="VerbatimChar"/>
    <w:rsid w:val="00BB142A"/>
    <w:rPr>
      <w:rFonts w:ascii="Consolas" w:hAnsi="Consolas"/>
      <w:i/>
      <w:color w:val="902000"/>
      <w:sz w:val="22"/>
    </w:rPr>
  </w:style>
  <w:style w:type="character" w:customStyle="1" w:styleId="DecValTok">
    <w:name w:val="DecValTok"/>
    <w:basedOn w:val="VerbatimChar"/>
    <w:rsid w:val="00BB142A"/>
    <w:rPr>
      <w:rFonts w:ascii="Consolas" w:hAnsi="Consolas"/>
      <w:i/>
      <w:color w:val="40A070"/>
      <w:sz w:val="22"/>
    </w:rPr>
  </w:style>
  <w:style w:type="character" w:customStyle="1" w:styleId="BaseNTok">
    <w:name w:val="BaseNTok"/>
    <w:basedOn w:val="VerbatimChar"/>
    <w:rsid w:val="00BB142A"/>
    <w:rPr>
      <w:rFonts w:ascii="Consolas" w:hAnsi="Consolas"/>
      <w:i/>
      <w:color w:val="40A070"/>
      <w:sz w:val="22"/>
    </w:rPr>
  </w:style>
  <w:style w:type="character" w:customStyle="1" w:styleId="FloatTok">
    <w:name w:val="FloatTok"/>
    <w:basedOn w:val="VerbatimChar"/>
    <w:rsid w:val="00BB142A"/>
    <w:rPr>
      <w:rFonts w:ascii="Consolas" w:hAnsi="Consolas"/>
      <w:i/>
      <w:color w:val="40A070"/>
      <w:sz w:val="22"/>
    </w:rPr>
  </w:style>
  <w:style w:type="character" w:customStyle="1" w:styleId="ConstantTok">
    <w:name w:val="ConstantTok"/>
    <w:basedOn w:val="VerbatimChar"/>
    <w:rsid w:val="00BB142A"/>
    <w:rPr>
      <w:rFonts w:ascii="Consolas" w:hAnsi="Consolas"/>
      <w:i/>
      <w:color w:val="880000"/>
      <w:sz w:val="22"/>
    </w:rPr>
  </w:style>
  <w:style w:type="character" w:customStyle="1" w:styleId="CharTok">
    <w:name w:val="CharTok"/>
    <w:basedOn w:val="VerbatimChar"/>
    <w:rsid w:val="00BB142A"/>
    <w:rPr>
      <w:rFonts w:ascii="Consolas" w:hAnsi="Consolas"/>
      <w:i/>
      <w:color w:val="4070A0"/>
      <w:sz w:val="22"/>
    </w:rPr>
  </w:style>
  <w:style w:type="character" w:customStyle="1" w:styleId="SpecialCharTok">
    <w:name w:val="SpecialCharTok"/>
    <w:basedOn w:val="VerbatimChar"/>
    <w:rsid w:val="00BB142A"/>
    <w:rPr>
      <w:rFonts w:ascii="Consolas" w:hAnsi="Consolas"/>
      <w:i/>
      <w:color w:val="4070A0"/>
      <w:sz w:val="22"/>
    </w:rPr>
  </w:style>
  <w:style w:type="character" w:customStyle="1" w:styleId="StringTok">
    <w:name w:val="StringTok"/>
    <w:basedOn w:val="VerbatimChar"/>
    <w:rsid w:val="00BB142A"/>
    <w:rPr>
      <w:rFonts w:ascii="Consolas" w:hAnsi="Consolas"/>
      <w:i/>
      <w:color w:val="4070A0"/>
      <w:sz w:val="22"/>
    </w:rPr>
  </w:style>
  <w:style w:type="character" w:customStyle="1" w:styleId="VerbatimStringTok">
    <w:name w:val="VerbatimStringTok"/>
    <w:basedOn w:val="VerbatimChar"/>
    <w:rsid w:val="00BB142A"/>
    <w:rPr>
      <w:rFonts w:ascii="Consolas" w:hAnsi="Consolas"/>
      <w:i/>
      <w:color w:val="4070A0"/>
      <w:sz w:val="22"/>
    </w:rPr>
  </w:style>
  <w:style w:type="character" w:customStyle="1" w:styleId="SpecialStringTok">
    <w:name w:val="SpecialStringTok"/>
    <w:basedOn w:val="VerbatimChar"/>
    <w:rsid w:val="00BB142A"/>
    <w:rPr>
      <w:rFonts w:ascii="Consolas" w:hAnsi="Consolas"/>
      <w:i/>
      <w:color w:val="BB6688"/>
      <w:sz w:val="22"/>
    </w:rPr>
  </w:style>
  <w:style w:type="character" w:customStyle="1" w:styleId="ImportTok">
    <w:name w:val="ImportTok"/>
    <w:basedOn w:val="VerbatimChar"/>
    <w:rsid w:val="00BB142A"/>
    <w:rPr>
      <w:rFonts w:ascii="Consolas" w:hAnsi="Consolas"/>
      <w:i/>
      <w:sz w:val="22"/>
    </w:rPr>
  </w:style>
  <w:style w:type="character" w:customStyle="1" w:styleId="CommentTok">
    <w:name w:val="CommentTok"/>
    <w:basedOn w:val="VerbatimChar"/>
    <w:rsid w:val="00BB142A"/>
    <w:rPr>
      <w:rFonts w:ascii="Consolas" w:hAnsi="Consolas"/>
      <w:i w:val="0"/>
      <w:color w:val="60A0B0"/>
      <w:sz w:val="22"/>
    </w:rPr>
  </w:style>
  <w:style w:type="character" w:customStyle="1" w:styleId="DocumentationTok">
    <w:name w:val="DocumentationTok"/>
    <w:basedOn w:val="VerbatimChar"/>
    <w:rsid w:val="00BB142A"/>
    <w:rPr>
      <w:rFonts w:ascii="Consolas" w:hAnsi="Consolas"/>
      <w:i w:val="0"/>
      <w:color w:val="BA2121"/>
      <w:sz w:val="22"/>
    </w:rPr>
  </w:style>
  <w:style w:type="character" w:customStyle="1" w:styleId="AnnotationTok">
    <w:name w:val="AnnotationTok"/>
    <w:basedOn w:val="VerbatimChar"/>
    <w:rsid w:val="00BB142A"/>
    <w:rPr>
      <w:rFonts w:ascii="Consolas" w:hAnsi="Consolas"/>
      <w:b/>
      <w:i w:val="0"/>
      <w:color w:val="60A0B0"/>
      <w:sz w:val="22"/>
    </w:rPr>
  </w:style>
  <w:style w:type="character" w:customStyle="1" w:styleId="CommentVarTok">
    <w:name w:val="CommentVarTok"/>
    <w:basedOn w:val="VerbatimChar"/>
    <w:rsid w:val="00BB142A"/>
    <w:rPr>
      <w:rFonts w:ascii="Consolas" w:hAnsi="Consolas"/>
      <w:b/>
      <w:i w:val="0"/>
      <w:color w:val="60A0B0"/>
      <w:sz w:val="22"/>
    </w:rPr>
  </w:style>
  <w:style w:type="character" w:customStyle="1" w:styleId="OtherTok">
    <w:name w:val="OtherTok"/>
    <w:basedOn w:val="VerbatimChar"/>
    <w:rsid w:val="00BB142A"/>
    <w:rPr>
      <w:rFonts w:ascii="Consolas" w:hAnsi="Consolas"/>
      <w:i/>
      <w:color w:val="007020"/>
      <w:sz w:val="22"/>
    </w:rPr>
  </w:style>
  <w:style w:type="character" w:customStyle="1" w:styleId="FunctionTok">
    <w:name w:val="FunctionTok"/>
    <w:basedOn w:val="VerbatimChar"/>
    <w:rsid w:val="00BB142A"/>
    <w:rPr>
      <w:rFonts w:ascii="Consolas" w:hAnsi="Consolas"/>
      <w:i/>
      <w:color w:val="06287E"/>
      <w:sz w:val="22"/>
    </w:rPr>
  </w:style>
  <w:style w:type="character" w:customStyle="1" w:styleId="VariableTok">
    <w:name w:val="VariableTok"/>
    <w:basedOn w:val="VerbatimChar"/>
    <w:rsid w:val="00BB142A"/>
    <w:rPr>
      <w:rFonts w:ascii="Consolas" w:hAnsi="Consolas"/>
      <w:i/>
      <w:color w:val="19177C"/>
      <w:sz w:val="22"/>
    </w:rPr>
  </w:style>
  <w:style w:type="character" w:customStyle="1" w:styleId="ControlFlowTok">
    <w:name w:val="ControlFlowTok"/>
    <w:basedOn w:val="VerbatimChar"/>
    <w:rsid w:val="00BB142A"/>
    <w:rPr>
      <w:rFonts w:ascii="Consolas" w:hAnsi="Consolas"/>
      <w:b/>
      <w:i/>
      <w:color w:val="007020"/>
      <w:sz w:val="22"/>
    </w:rPr>
  </w:style>
  <w:style w:type="character" w:customStyle="1" w:styleId="OperatorTok">
    <w:name w:val="OperatorTok"/>
    <w:basedOn w:val="VerbatimChar"/>
    <w:rsid w:val="00BB142A"/>
    <w:rPr>
      <w:rFonts w:ascii="Consolas" w:hAnsi="Consolas"/>
      <w:i/>
      <w:color w:val="666666"/>
      <w:sz w:val="22"/>
    </w:rPr>
  </w:style>
  <w:style w:type="character" w:customStyle="1" w:styleId="BuiltInTok">
    <w:name w:val="BuiltInTok"/>
    <w:basedOn w:val="VerbatimChar"/>
    <w:rsid w:val="00BB142A"/>
    <w:rPr>
      <w:rFonts w:ascii="Consolas" w:hAnsi="Consolas"/>
      <w:i/>
      <w:sz w:val="22"/>
    </w:rPr>
  </w:style>
  <w:style w:type="character" w:customStyle="1" w:styleId="ExtensionTok">
    <w:name w:val="ExtensionTok"/>
    <w:basedOn w:val="VerbatimChar"/>
    <w:rsid w:val="00BB142A"/>
    <w:rPr>
      <w:rFonts w:ascii="Consolas" w:hAnsi="Consolas"/>
      <w:i/>
      <w:sz w:val="22"/>
    </w:rPr>
  </w:style>
  <w:style w:type="character" w:customStyle="1" w:styleId="PreprocessorTok">
    <w:name w:val="PreprocessorTok"/>
    <w:basedOn w:val="VerbatimChar"/>
    <w:rsid w:val="00BB142A"/>
    <w:rPr>
      <w:rFonts w:ascii="Consolas" w:hAnsi="Consolas"/>
      <w:i/>
      <w:color w:val="BC7A00"/>
      <w:sz w:val="22"/>
    </w:rPr>
  </w:style>
  <w:style w:type="character" w:customStyle="1" w:styleId="AttributeTok">
    <w:name w:val="AttributeTok"/>
    <w:basedOn w:val="VerbatimChar"/>
    <w:rsid w:val="00BB142A"/>
    <w:rPr>
      <w:rFonts w:ascii="Consolas" w:hAnsi="Consolas"/>
      <w:i/>
      <w:color w:val="7D9029"/>
      <w:sz w:val="22"/>
    </w:rPr>
  </w:style>
  <w:style w:type="character" w:customStyle="1" w:styleId="RegionMarkerTok">
    <w:name w:val="RegionMarkerTok"/>
    <w:basedOn w:val="VerbatimChar"/>
    <w:rsid w:val="00BB142A"/>
    <w:rPr>
      <w:rFonts w:ascii="Consolas" w:hAnsi="Consolas"/>
      <w:i/>
      <w:sz w:val="22"/>
    </w:rPr>
  </w:style>
  <w:style w:type="character" w:customStyle="1" w:styleId="InformationTok">
    <w:name w:val="InformationTok"/>
    <w:basedOn w:val="VerbatimChar"/>
    <w:rsid w:val="00BB142A"/>
    <w:rPr>
      <w:rFonts w:ascii="Consolas" w:hAnsi="Consolas"/>
      <w:b/>
      <w:i w:val="0"/>
      <w:color w:val="60A0B0"/>
      <w:sz w:val="22"/>
    </w:rPr>
  </w:style>
  <w:style w:type="character" w:customStyle="1" w:styleId="WarningTok">
    <w:name w:val="WarningTok"/>
    <w:basedOn w:val="VerbatimChar"/>
    <w:rsid w:val="00BB142A"/>
    <w:rPr>
      <w:rFonts w:ascii="Consolas" w:hAnsi="Consolas"/>
      <w:b/>
      <w:i w:val="0"/>
      <w:color w:val="60A0B0"/>
      <w:sz w:val="22"/>
    </w:rPr>
  </w:style>
  <w:style w:type="character" w:customStyle="1" w:styleId="AlertTok">
    <w:name w:val="AlertTok"/>
    <w:basedOn w:val="VerbatimChar"/>
    <w:rsid w:val="00BB142A"/>
    <w:rPr>
      <w:rFonts w:ascii="Consolas" w:hAnsi="Consolas"/>
      <w:b/>
      <w:i/>
      <w:color w:val="FF0000"/>
      <w:sz w:val="22"/>
    </w:rPr>
  </w:style>
  <w:style w:type="character" w:customStyle="1" w:styleId="ErrorTok">
    <w:name w:val="ErrorTok"/>
    <w:basedOn w:val="VerbatimChar"/>
    <w:rsid w:val="00BB142A"/>
    <w:rPr>
      <w:rFonts w:ascii="Consolas" w:hAnsi="Consolas"/>
      <w:b/>
      <w:i/>
      <w:color w:val="FF0000"/>
      <w:sz w:val="22"/>
    </w:rPr>
  </w:style>
  <w:style w:type="character" w:customStyle="1" w:styleId="NormalTok">
    <w:name w:val="NormalTok"/>
    <w:basedOn w:val="VerbatimChar"/>
    <w:rsid w:val="00BB142A"/>
    <w:rPr>
      <w:rFonts w:ascii="Consolas" w:hAnsi="Consolas"/>
      <w:i/>
      <w:sz w:val="22"/>
    </w:rPr>
  </w:style>
  <w:style w:type="table" w:styleId="PlainTable2">
    <w:name w:val="Plain Table 2"/>
    <w:basedOn w:val="TableNormal"/>
    <w:rsid w:val="00BB14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semiHidden/>
    <w:rsid w:val="00BB142A"/>
  </w:style>
  <w:style w:type="table" w:styleId="PlainTable5">
    <w:name w:val="Plain Table 5"/>
    <w:basedOn w:val="TableNormal"/>
    <w:rsid w:val="00BB142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BB14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BB142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BB142A"/>
    <w:rPr>
      <w:color w:val="605E5C"/>
      <w:shd w:val="clear" w:color="auto" w:fill="E1DFDD"/>
    </w:rPr>
  </w:style>
  <w:style w:type="paragraph" w:styleId="BalloonText">
    <w:name w:val="Balloon Text"/>
    <w:basedOn w:val="Normal"/>
    <w:link w:val="BalloonTextChar"/>
    <w:semiHidden/>
    <w:unhideWhenUsed/>
    <w:rsid w:val="00BB142A"/>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BB142A"/>
    <w:rPr>
      <w:rFonts w:ascii="Segoe UI" w:eastAsia="Times New Roman" w:hAnsi="Segoe UI" w:cs="Segoe UI"/>
      <w:sz w:val="18"/>
      <w:szCs w:val="18"/>
    </w:rPr>
  </w:style>
  <w:style w:type="character" w:styleId="Emphasis">
    <w:name w:val="Emphasis"/>
    <w:basedOn w:val="DefaultParagraphFont"/>
    <w:uiPriority w:val="20"/>
    <w:qFormat/>
    <w:rsid w:val="00BB142A"/>
    <w:rPr>
      <w:i/>
      <w:iCs/>
    </w:rPr>
  </w:style>
  <w:style w:type="character" w:styleId="HTMLCode">
    <w:name w:val="HTML Code"/>
    <w:basedOn w:val="DefaultParagraphFont"/>
    <w:uiPriority w:val="99"/>
    <w:semiHidden/>
    <w:unhideWhenUsed/>
    <w:rsid w:val="00BB142A"/>
    <w:rPr>
      <w:rFonts w:ascii="Courier New" w:eastAsiaTheme="minorEastAsia" w:hAnsi="Courier New" w:cs="Courier New"/>
      <w:sz w:val="20"/>
      <w:szCs w:val="20"/>
    </w:rPr>
  </w:style>
  <w:style w:type="paragraph" w:customStyle="1" w:styleId="Date1">
    <w:name w:val="Date1"/>
    <w:basedOn w:val="Normal"/>
    <w:rsid w:val="00BB142A"/>
    <w:pPr>
      <w:spacing w:before="100" w:beforeAutospacing="1" w:after="100" w:afterAutospacing="1"/>
    </w:pPr>
    <w:rPr>
      <w:rFonts w:ascii="Times New Roman" w:eastAsiaTheme="minorEastAsia" w:hAnsi="Times New Roman" w:cs="Times New Roman"/>
    </w:rPr>
  </w:style>
  <w:style w:type="character" w:styleId="Strong">
    <w:name w:val="Strong"/>
    <w:basedOn w:val="DefaultParagraphFont"/>
    <w:uiPriority w:val="22"/>
    <w:qFormat/>
    <w:rsid w:val="00BB142A"/>
    <w:rPr>
      <w:b/>
      <w:bCs/>
    </w:rPr>
  </w:style>
  <w:style w:type="paragraph" w:styleId="HTMLPreformatted">
    <w:name w:val="HTML Preformatted"/>
    <w:basedOn w:val="Normal"/>
    <w:link w:val="HTMLPreformattedChar"/>
    <w:uiPriority w:val="99"/>
    <w:semiHidden/>
    <w:unhideWhenUsed/>
    <w:rsid w:val="00BB1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BB142A"/>
    <w:rPr>
      <w:rFonts w:ascii="Courier New" w:eastAsiaTheme="minorEastAsia" w:hAnsi="Courier New" w:cs="Courier New"/>
      <w:sz w:val="20"/>
      <w:szCs w:val="20"/>
    </w:rPr>
  </w:style>
  <w:style w:type="paragraph" w:customStyle="1" w:styleId="Caption1">
    <w:name w:val="Caption1"/>
    <w:basedOn w:val="Normal"/>
    <w:rsid w:val="00BB142A"/>
    <w:pPr>
      <w:spacing w:before="100" w:beforeAutospacing="1" w:after="100" w:afterAutospacing="1"/>
    </w:pPr>
    <w:rPr>
      <w:rFonts w:ascii="Times New Roman" w:eastAsiaTheme="minorEastAsia" w:hAnsi="Times New Roman" w:cs="Times New Roman"/>
    </w:rPr>
  </w:style>
  <w:style w:type="character" w:customStyle="1" w:styleId="mord">
    <w:name w:val="mord"/>
    <w:basedOn w:val="DefaultParagraphFont"/>
    <w:rsid w:val="00BB142A"/>
  </w:style>
  <w:style w:type="paragraph" w:styleId="TOC1">
    <w:name w:val="toc 1"/>
    <w:basedOn w:val="Normal"/>
    <w:next w:val="Normal"/>
    <w:autoRedefine/>
    <w:uiPriority w:val="39"/>
    <w:unhideWhenUsed/>
    <w:rsid w:val="00450A49"/>
    <w:pPr>
      <w:suppressLineNumbers/>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450A49"/>
    <w:pPr>
      <w:suppressLineNumbers/>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450A49"/>
    <w:pPr>
      <w:ind w:left="480"/>
    </w:pPr>
    <w:rPr>
      <w:rFonts w:cstheme="minorHAnsi"/>
      <w:i/>
      <w:iCs/>
      <w:sz w:val="20"/>
      <w:szCs w:val="20"/>
    </w:rPr>
  </w:style>
  <w:style w:type="paragraph" w:styleId="TOC4">
    <w:name w:val="toc 4"/>
    <w:basedOn w:val="Normal"/>
    <w:next w:val="Normal"/>
    <w:autoRedefine/>
    <w:uiPriority w:val="39"/>
    <w:unhideWhenUsed/>
    <w:rsid w:val="00450A49"/>
    <w:pPr>
      <w:ind w:left="720"/>
    </w:pPr>
    <w:rPr>
      <w:rFonts w:cstheme="minorHAnsi"/>
      <w:sz w:val="18"/>
      <w:szCs w:val="18"/>
    </w:rPr>
  </w:style>
  <w:style w:type="paragraph" w:styleId="TOC5">
    <w:name w:val="toc 5"/>
    <w:basedOn w:val="Normal"/>
    <w:next w:val="Normal"/>
    <w:autoRedefine/>
    <w:uiPriority w:val="39"/>
    <w:unhideWhenUsed/>
    <w:rsid w:val="00450A49"/>
    <w:pPr>
      <w:ind w:left="960"/>
    </w:pPr>
    <w:rPr>
      <w:rFonts w:cstheme="minorHAnsi"/>
      <w:sz w:val="18"/>
      <w:szCs w:val="18"/>
    </w:rPr>
  </w:style>
  <w:style w:type="paragraph" w:styleId="TOC6">
    <w:name w:val="toc 6"/>
    <w:basedOn w:val="Normal"/>
    <w:next w:val="Normal"/>
    <w:autoRedefine/>
    <w:uiPriority w:val="39"/>
    <w:unhideWhenUsed/>
    <w:rsid w:val="00450A49"/>
    <w:pPr>
      <w:ind w:left="1200"/>
    </w:pPr>
    <w:rPr>
      <w:rFonts w:cstheme="minorHAnsi"/>
      <w:sz w:val="18"/>
      <w:szCs w:val="18"/>
    </w:rPr>
  </w:style>
  <w:style w:type="paragraph" w:styleId="TOC7">
    <w:name w:val="toc 7"/>
    <w:basedOn w:val="Normal"/>
    <w:next w:val="Normal"/>
    <w:autoRedefine/>
    <w:uiPriority w:val="39"/>
    <w:unhideWhenUsed/>
    <w:rsid w:val="00450A49"/>
    <w:pPr>
      <w:ind w:left="1440"/>
    </w:pPr>
    <w:rPr>
      <w:rFonts w:cstheme="minorHAnsi"/>
      <w:sz w:val="18"/>
      <w:szCs w:val="18"/>
    </w:rPr>
  </w:style>
  <w:style w:type="paragraph" w:styleId="TOC8">
    <w:name w:val="toc 8"/>
    <w:basedOn w:val="Normal"/>
    <w:next w:val="Normal"/>
    <w:autoRedefine/>
    <w:uiPriority w:val="39"/>
    <w:unhideWhenUsed/>
    <w:rsid w:val="00450A49"/>
    <w:pPr>
      <w:ind w:left="1680"/>
    </w:pPr>
    <w:rPr>
      <w:rFonts w:cstheme="minorHAnsi"/>
      <w:sz w:val="18"/>
      <w:szCs w:val="18"/>
    </w:rPr>
  </w:style>
  <w:style w:type="paragraph" w:styleId="TOC9">
    <w:name w:val="toc 9"/>
    <w:basedOn w:val="Normal"/>
    <w:next w:val="Normal"/>
    <w:autoRedefine/>
    <w:uiPriority w:val="39"/>
    <w:unhideWhenUsed/>
    <w:rsid w:val="00450A49"/>
    <w:pPr>
      <w:ind w:left="1920"/>
    </w:pPr>
    <w:rPr>
      <w:rFonts w:cstheme="minorHAnsi"/>
      <w:sz w:val="18"/>
      <w:szCs w:val="18"/>
    </w:rPr>
  </w:style>
  <w:style w:type="paragraph" w:customStyle="1" w:styleId="msonormal0">
    <w:name w:val="msonormal"/>
    <w:basedOn w:val="Normal"/>
    <w:rsid w:val="00450A49"/>
    <w:pPr>
      <w:spacing w:before="100" w:beforeAutospacing="1" w:after="100" w:afterAutospacing="1"/>
    </w:pPr>
    <w:rPr>
      <w:rFonts w:ascii="Times New Roman" w:eastAsia="Times New Roman" w:hAnsi="Times New Roman" w:cs="Times New Roman"/>
    </w:rPr>
  </w:style>
  <w:style w:type="paragraph" w:customStyle="1" w:styleId="font5">
    <w:name w:val="font5"/>
    <w:basedOn w:val="Normal"/>
    <w:rsid w:val="00450A49"/>
    <w:pPr>
      <w:spacing w:before="100" w:beforeAutospacing="1" w:after="100" w:afterAutospacing="1"/>
    </w:pPr>
    <w:rPr>
      <w:rFonts w:ascii="Times New Roman" w:eastAsia="Times New Roman" w:hAnsi="Times New Roman" w:cs="Times New Roman"/>
      <w:color w:val="000000"/>
      <w:sz w:val="22"/>
      <w:szCs w:val="22"/>
    </w:rPr>
  </w:style>
  <w:style w:type="paragraph" w:customStyle="1" w:styleId="xl63">
    <w:name w:val="xl63"/>
    <w:basedOn w:val="Normal"/>
    <w:rsid w:val="00450A49"/>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rPr>
  </w:style>
  <w:style w:type="paragraph" w:customStyle="1" w:styleId="xl64">
    <w:name w:val="xl64"/>
    <w:basedOn w:val="Normal"/>
    <w:rsid w:val="00450A49"/>
    <w:pPr>
      <w:pBdr>
        <w:top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rPr>
  </w:style>
  <w:style w:type="paragraph" w:customStyle="1" w:styleId="xl65">
    <w:name w:val="xl65"/>
    <w:basedOn w:val="Normal"/>
    <w:rsid w:val="00450A49"/>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2"/>
      <w:szCs w:val="22"/>
    </w:rPr>
  </w:style>
  <w:style w:type="paragraph" w:customStyle="1" w:styleId="xl66">
    <w:name w:val="xl66"/>
    <w:basedOn w:val="Normal"/>
    <w:rsid w:val="00450A49"/>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i/>
      <w:iCs/>
      <w:sz w:val="22"/>
      <w:szCs w:val="22"/>
    </w:rPr>
  </w:style>
  <w:style w:type="paragraph" w:customStyle="1" w:styleId="xl67">
    <w:name w:val="xl67"/>
    <w:basedOn w:val="Normal"/>
    <w:rsid w:val="00450A49"/>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7539">
      <w:bodyDiv w:val="1"/>
      <w:marLeft w:val="0"/>
      <w:marRight w:val="0"/>
      <w:marTop w:val="0"/>
      <w:marBottom w:val="0"/>
      <w:divBdr>
        <w:top w:val="none" w:sz="0" w:space="0" w:color="auto"/>
        <w:left w:val="none" w:sz="0" w:space="0" w:color="auto"/>
        <w:bottom w:val="none" w:sz="0" w:space="0" w:color="auto"/>
        <w:right w:val="none" w:sz="0" w:space="0" w:color="auto"/>
      </w:divBdr>
    </w:div>
    <w:div w:id="66461575">
      <w:bodyDiv w:val="1"/>
      <w:marLeft w:val="0"/>
      <w:marRight w:val="0"/>
      <w:marTop w:val="0"/>
      <w:marBottom w:val="0"/>
      <w:divBdr>
        <w:top w:val="none" w:sz="0" w:space="0" w:color="auto"/>
        <w:left w:val="none" w:sz="0" w:space="0" w:color="auto"/>
        <w:bottom w:val="none" w:sz="0" w:space="0" w:color="auto"/>
        <w:right w:val="none" w:sz="0" w:space="0" w:color="auto"/>
      </w:divBdr>
      <w:divsChild>
        <w:div w:id="365521527">
          <w:marLeft w:val="0"/>
          <w:marRight w:val="0"/>
          <w:marTop w:val="0"/>
          <w:marBottom w:val="0"/>
          <w:divBdr>
            <w:top w:val="none" w:sz="0" w:space="0" w:color="auto"/>
            <w:left w:val="none" w:sz="0" w:space="0" w:color="auto"/>
            <w:bottom w:val="none" w:sz="0" w:space="0" w:color="auto"/>
            <w:right w:val="none" w:sz="0" w:space="0" w:color="auto"/>
          </w:divBdr>
          <w:divsChild>
            <w:div w:id="1208954156">
              <w:marLeft w:val="0"/>
              <w:marRight w:val="0"/>
              <w:marTop w:val="0"/>
              <w:marBottom w:val="0"/>
              <w:divBdr>
                <w:top w:val="none" w:sz="0" w:space="0" w:color="auto"/>
                <w:left w:val="none" w:sz="0" w:space="0" w:color="auto"/>
                <w:bottom w:val="none" w:sz="0" w:space="0" w:color="auto"/>
                <w:right w:val="none" w:sz="0" w:space="0" w:color="auto"/>
              </w:divBdr>
              <w:divsChild>
                <w:div w:id="179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5691">
      <w:bodyDiv w:val="1"/>
      <w:marLeft w:val="0"/>
      <w:marRight w:val="0"/>
      <w:marTop w:val="0"/>
      <w:marBottom w:val="0"/>
      <w:divBdr>
        <w:top w:val="none" w:sz="0" w:space="0" w:color="auto"/>
        <w:left w:val="none" w:sz="0" w:space="0" w:color="auto"/>
        <w:bottom w:val="none" w:sz="0" w:space="0" w:color="auto"/>
        <w:right w:val="none" w:sz="0" w:space="0" w:color="auto"/>
      </w:divBdr>
    </w:div>
    <w:div w:id="632904311">
      <w:bodyDiv w:val="1"/>
      <w:marLeft w:val="0"/>
      <w:marRight w:val="0"/>
      <w:marTop w:val="0"/>
      <w:marBottom w:val="0"/>
      <w:divBdr>
        <w:top w:val="none" w:sz="0" w:space="0" w:color="auto"/>
        <w:left w:val="none" w:sz="0" w:space="0" w:color="auto"/>
        <w:bottom w:val="none" w:sz="0" w:space="0" w:color="auto"/>
        <w:right w:val="none" w:sz="0" w:space="0" w:color="auto"/>
      </w:divBdr>
    </w:div>
    <w:div w:id="754128449">
      <w:bodyDiv w:val="1"/>
      <w:marLeft w:val="0"/>
      <w:marRight w:val="0"/>
      <w:marTop w:val="0"/>
      <w:marBottom w:val="0"/>
      <w:divBdr>
        <w:top w:val="none" w:sz="0" w:space="0" w:color="auto"/>
        <w:left w:val="none" w:sz="0" w:space="0" w:color="auto"/>
        <w:bottom w:val="none" w:sz="0" w:space="0" w:color="auto"/>
        <w:right w:val="none" w:sz="0" w:space="0" w:color="auto"/>
      </w:divBdr>
    </w:div>
    <w:div w:id="810827596">
      <w:bodyDiv w:val="1"/>
      <w:marLeft w:val="0"/>
      <w:marRight w:val="0"/>
      <w:marTop w:val="0"/>
      <w:marBottom w:val="0"/>
      <w:divBdr>
        <w:top w:val="none" w:sz="0" w:space="0" w:color="auto"/>
        <w:left w:val="none" w:sz="0" w:space="0" w:color="auto"/>
        <w:bottom w:val="none" w:sz="0" w:space="0" w:color="auto"/>
        <w:right w:val="none" w:sz="0" w:space="0" w:color="auto"/>
      </w:divBdr>
      <w:divsChild>
        <w:div w:id="191504427">
          <w:marLeft w:val="0"/>
          <w:marRight w:val="0"/>
          <w:marTop w:val="0"/>
          <w:marBottom w:val="0"/>
          <w:divBdr>
            <w:top w:val="none" w:sz="0" w:space="0" w:color="auto"/>
            <w:left w:val="none" w:sz="0" w:space="0" w:color="auto"/>
            <w:bottom w:val="none" w:sz="0" w:space="0" w:color="auto"/>
            <w:right w:val="none" w:sz="0" w:space="0" w:color="auto"/>
          </w:divBdr>
          <w:divsChild>
            <w:div w:id="244806568">
              <w:marLeft w:val="0"/>
              <w:marRight w:val="0"/>
              <w:marTop w:val="0"/>
              <w:marBottom w:val="0"/>
              <w:divBdr>
                <w:top w:val="none" w:sz="0" w:space="0" w:color="auto"/>
                <w:left w:val="none" w:sz="0" w:space="0" w:color="auto"/>
                <w:bottom w:val="none" w:sz="0" w:space="0" w:color="auto"/>
                <w:right w:val="none" w:sz="0" w:space="0" w:color="auto"/>
              </w:divBdr>
              <w:divsChild>
                <w:div w:id="7617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8107">
      <w:bodyDiv w:val="1"/>
      <w:marLeft w:val="0"/>
      <w:marRight w:val="0"/>
      <w:marTop w:val="0"/>
      <w:marBottom w:val="0"/>
      <w:divBdr>
        <w:top w:val="none" w:sz="0" w:space="0" w:color="auto"/>
        <w:left w:val="none" w:sz="0" w:space="0" w:color="auto"/>
        <w:bottom w:val="none" w:sz="0" w:space="0" w:color="auto"/>
        <w:right w:val="none" w:sz="0" w:space="0" w:color="auto"/>
      </w:divBdr>
    </w:div>
    <w:div w:id="1022898220">
      <w:bodyDiv w:val="1"/>
      <w:marLeft w:val="0"/>
      <w:marRight w:val="0"/>
      <w:marTop w:val="0"/>
      <w:marBottom w:val="0"/>
      <w:divBdr>
        <w:top w:val="none" w:sz="0" w:space="0" w:color="auto"/>
        <w:left w:val="none" w:sz="0" w:space="0" w:color="auto"/>
        <w:bottom w:val="none" w:sz="0" w:space="0" w:color="auto"/>
        <w:right w:val="none" w:sz="0" w:space="0" w:color="auto"/>
      </w:divBdr>
      <w:divsChild>
        <w:div w:id="712726876">
          <w:marLeft w:val="0"/>
          <w:marRight w:val="0"/>
          <w:marTop w:val="0"/>
          <w:marBottom w:val="0"/>
          <w:divBdr>
            <w:top w:val="none" w:sz="0" w:space="0" w:color="auto"/>
            <w:left w:val="none" w:sz="0" w:space="0" w:color="auto"/>
            <w:bottom w:val="none" w:sz="0" w:space="0" w:color="auto"/>
            <w:right w:val="none" w:sz="0" w:space="0" w:color="auto"/>
          </w:divBdr>
          <w:divsChild>
            <w:div w:id="65229467">
              <w:marLeft w:val="0"/>
              <w:marRight w:val="0"/>
              <w:marTop w:val="0"/>
              <w:marBottom w:val="0"/>
              <w:divBdr>
                <w:top w:val="none" w:sz="0" w:space="0" w:color="auto"/>
                <w:left w:val="none" w:sz="0" w:space="0" w:color="auto"/>
                <w:bottom w:val="none" w:sz="0" w:space="0" w:color="auto"/>
                <w:right w:val="none" w:sz="0" w:space="0" w:color="auto"/>
              </w:divBdr>
              <w:divsChild>
                <w:div w:id="160778388">
                  <w:marLeft w:val="0"/>
                  <w:marRight w:val="0"/>
                  <w:marTop w:val="0"/>
                  <w:marBottom w:val="0"/>
                  <w:divBdr>
                    <w:top w:val="none" w:sz="0" w:space="0" w:color="auto"/>
                    <w:left w:val="none" w:sz="0" w:space="0" w:color="auto"/>
                    <w:bottom w:val="none" w:sz="0" w:space="0" w:color="auto"/>
                    <w:right w:val="none" w:sz="0" w:space="0" w:color="auto"/>
                  </w:divBdr>
                  <w:divsChild>
                    <w:div w:id="4917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5930">
      <w:bodyDiv w:val="1"/>
      <w:marLeft w:val="0"/>
      <w:marRight w:val="0"/>
      <w:marTop w:val="0"/>
      <w:marBottom w:val="0"/>
      <w:divBdr>
        <w:top w:val="none" w:sz="0" w:space="0" w:color="auto"/>
        <w:left w:val="none" w:sz="0" w:space="0" w:color="auto"/>
        <w:bottom w:val="none" w:sz="0" w:space="0" w:color="auto"/>
        <w:right w:val="none" w:sz="0" w:space="0" w:color="auto"/>
      </w:divBdr>
    </w:div>
    <w:div w:id="1344822229">
      <w:bodyDiv w:val="1"/>
      <w:marLeft w:val="0"/>
      <w:marRight w:val="0"/>
      <w:marTop w:val="0"/>
      <w:marBottom w:val="0"/>
      <w:divBdr>
        <w:top w:val="none" w:sz="0" w:space="0" w:color="auto"/>
        <w:left w:val="none" w:sz="0" w:space="0" w:color="auto"/>
        <w:bottom w:val="none" w:sz="0" w:space="0" w:color="auto"/>
        <w:right w:val="none" w:sz="0" w:space="0" w:color="auto"/>
      </w:divBdr>
      <w:divsChild>
        <w:div w:id="1690522542">
          <w:marLeft w:val="0"/>
          <w:marRight w:val="0"/>
          <w:marTop w:val="0"/>
          <w:marBottom w:val="0"/>
          <w:divBdr>
            <w:top w:val="none" w:sz="0" w:space="0" w:color="auto"/>
            <w:left w:val="none" w:sz="0" w:space="0" w:color="auto"/>
            <w:bottom w:val="none" w:sz="0" w:space="0" w:color="auto"/>
            <w:right w:val="none" w:sz="0" w:space="0" w:color="auto"/>
          </w:divBdr>
          <w:divsChild>
            <w:div w:id="919799714">
              <w:marLeft w:val="0"/>
              <w:marRight w:val="0"/>
              <w:marTop w:val="0"/>
              <w:marBottom w:val="0"/>
              <w:divBdr>
                <w:top w:val="none" w:sz="0" w:space="0" w:color="auto"/>
                <w:left w:val="none" w:sz="0" w:space="0" w:color="auto"/>
                <w:bottom w:val="none" w:sz="0" w:space="0" w:color="auto"/>
                <w:right w:val="none" w:sz="0" w:space="0" w:color="auto"/>
              </w:divBdr>
              <w:divsChild>
                <w:div w:id="1983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339352">
      <w:bodyDiv w:val="1"/>
      <w:marLeft w:val="0"/>
      <w:marRight w:val="0"/>
      <w:marTop w:val="0"/>
      <w:marBottom w:val="0"/>
      <w:divBdr>
        <w:top w:val="none" w:sz="0" w:space="0" w:color="auto"/>
        <w:left w:val="none" w:sz="0" w:space="0" w:color="auto"/>
        <w:bottom w:val="none" w:sz="0" w:space="0" w:color="auto"/>
        <w:right w:val="none" w:sz="0" w:space="0" w:color="auto"/>
      </w:divBdr>
      <w:divsChild>
        <w:div w:id="694500612">
          <w:marLeft w:val="0"/>
          <w:marRight w:val="0"/>
          <w:marTop w:val="0"/>
          <w:marBottom w:val="0"/>
          <w:divBdr>
            <w:top w:val="none" w:sz="0" w:space="0" w:color="auto"/>
            <w:left w:val="none" w:sz="0" w:space="0" w:color="auto"/>
            <w:bottom w:val="none" w:sz="0" w:space="0" w:color="auto"/>
            <w:right w:val="none" w:sz="0" w:space="0" w:color="auto"/>
          </w:divBdr>
        </w:div>
        <w:div w:id="747265155">
          <w:marLeft w:val="0"/>
          <w:marRight w:val="0"/>
          <w:marTop w:val="0"/>
          <w:marBottom w:val="0"/>
          <w:divBdr>
            <w:top w:val="none" w:sz="0" w:space="0" w:color="auto"/>
            <w:left w:val="none" w:sz="0" w:space="0" w:color="auto"/>
            <w:bottom w:val="none" w:sz="0" w:space="0" w:color="auto"/>
            <w:right w:val="none" w:sz="0" w:space="0" w:color="auto"/>
          </w:divBdr>
          <w:divsChild>
            <w:div w:id="12659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7627">
      <w:bodyDiv w:val="1"/>
      <w:marLeft w:val="0"/>
      <w:marRight w:val="0"/>
      <w:marTop w:val="0"/>
      <w:marBottom w:val="0"/>
      <w:divBdr>
        <w:top w:val="none" w:sz="0" w:space="0" w:color="auto"/>
        <w:left w:val="none" w:sz="0" w:space="0" w:color="auto"/>
        <w:bottom w:val="none" w:sz="0" w:space="0" w:color="auto"/>
        <w:right w:val="none" w:sz="0" w:space="0" w:color="auto"/>
      </w:divBdr>
      <w:divsChild>
        <w:div w:id="1328635456">
          <w:marLeft w:val="0"/>
          <w:marRight w:val="0"/>
          <w:marTop w:val="0"/>
          <w:marBottom w:val="0"/>
          <w:divBdr>
            <w:top w:val="none" w:sz="0" w:space="0" w:color="auto"/>
            <w:left w:val="none" w:sz="0" w:space="0" w:color="auto"/>
            <w:bottom w:val="none" w:sz="0" w:space="0" w:color="auto"/>
            <w:right w:val="none" w:sz="0" w:space="0" w:color="auto"/>
          </w:divBdr>
          <w:divsChild>
            <w:div w:id="236012501">
              <w:marLeft w:val="0"/>
              <w:marRight w:val="0"/>
              <w:marTop w:val="0"/>
              <w:marBottom w:val="0"/>
              <w:divBdr>
                <w:top w:val="none" w:sz="0" w:space="0" w:color="auto"/>
                <w:left w:val="none" w:sz="0" w:space="0" w:color="auto"/>
                <w:bottom w:val="none" w:sz="0" w:space="0" w:color="auto"/>
                <w:right w:val="none" w:sz="0" w:space="0" w:color="auto"/>
              </w:divBdr>
              <w:divsChild>
                <w:div w:id="481582781">
                  <w:marLeft w:val="0"/>
                  <w:marRight w:val="0"/>
                  <w:marTop w:val="0"/>
                  <w:marBottom w:val="0"/>
                  <w:divBdr>
                    <w:top w:val="none" w:sz="0" w:space="0" w:color="auto"/>
                    <w:left w:val="none" w:sz="0" w:space="0" w:color="auto"/>
                    <w:bottom w:val="none" w:sz="0" w:space="0" w:color="auto"/>
                    <w:right w:val="none" w:sz="0" w:space="0" w:color="auto"/>
                  </w:divBdr>
                  <w:divsChild>
                    <w:div w:id="18983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574475">
      <w:bodyDiv w:val="1"/>
      <w:marLeft w:val="0"/>
      <w:marRight w:val="0"/>
      <w:marTop w:val="0"/>
      <w:marBottom w:val="0"/>
      <w:divBdr>
        <w:top w:val="none" w:sz="0" w:space="0" w:color="auto"/>
        <w:left w:val="none" w:sz="0" w:space="0" w:color="auto"/>
        <w:bottom w:val="none" w:sz="0" w:space="0" w:color="auto"/>
        <w:right w:val="none" w:sz="0" w:space="0" w:color="auto"/>
      </w:divBdr>
      <w:divsChild>
        <w:div w:id="645401530">
          <w:marLeft w:val="0"/>
          <w:marRight w:val="0"/>
          <w:marTop w:val="0"/>
          <w:marBottom w:val="0"/>
          <w:divBdr>
            <w:top w:val="none" w:sz="0" w:space="0" w:color="auto"/>
            <w:left w:val="none" w:sz="0" w:space="0" w:color="auto"/>
            <w:bottom w:val="none" w:sz="0" w:space="0" w:color="auto"/>
            <w:right w:val="none" w:sz="0" w:space="0" w:color="auto"/>
          </w:divBdr>
          <w:divsChild>
            <w:div w:id="519011181">
              <w:marLeft w:val="0"/>
              <w:marRight w:val="0"/>
              <w:marTop w:val="0"/>
              <w:marBottom w:val="0"/>
              <w:divBdr>
                <w:top w:val="none" w:sz="0" w:space="0" w:color="auto"/>
                <w:left w:val="none" w:sz="0" w:space="0" w:color="auto"/>
                <w:bottom w:val="none" w:sz="0" w:space="0" w:color="auto"/>
                <w:right w:val="none" w:sz="0" w:space="0" w:color="auto"/>
              </w:divBdr>
              <w:divsChild>
                <w:div w:id="17713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202890">
      <w:bodyDiv w:val="1"/>
      <w:marLeft w:val="0"/>
      <w:marRight w:val="0"/>
      <w:marTop w:val="0"/>
      <w:marBottom w:val="0"/>
      <w:divBdr>
        <w:top w:val="none" w:sz="0" w:space="0" w:color="auto"/>
        <w:left w:val="none" w:sz="0" w:space="0" w:color="auto"/>
        <w:bottom w:val="none" w:sz="0" w:space="0" w:color="auto"/>
        <w:right w:val="none" w:sz="0" w:space="0" w:color="auto"/>
      </w:divBdr>
      <w:divsChild>
        <w:div w:id="889076830">
          <w:marLeft w:val="0"/>
          <w:marRight w:val="0"/>
          <w:marTop w:val="0"/>
          <w:marBottom w:val="0"/>
          <w:divBdr>
            <w:top w:val="none" w:sz="0" w:space="0" w:color="auto"/>
            <w:left w:val="none" w:sz="0" w:space="0" w:color="auto"/>
            <w:bottom w:val="none" w:sz="0" w:space="0" w:color="auto"/>
            <w:right w:val="none" w:sz="0" w:space="0" w:color="auto"/>
          </w:divBdr>
          <w:divsChild>
            <w:div w:id="32579154">
              <w:marLeft w:val="0"/>
              <w:marRight w:val="0"/>
              <w:marTop w:val="0"/>
              <w:marBottom w:val="0"/>
              <w:divBdr>
                <w:top w:val="none" w:sz="0" w:space="0" w:color="auto"/>
                <w:left w:val="none" w:sz="0" w:space="0" w:color="auto"/>
                <w:bottom w:val="none" w:sz="0" w:space="0" w:color="auto"/>
                <w:right w:val="none" w:sz="0" w:space="0" w:color="auto"/>
              </w:divBdr>
              <w:divsChild>
                <w:div w:id="445152455">
                  <w:marLeft w:val="0"/>
                  <w:marRight w:val="0"/>
                  <w:marTop w:val="0"/>
                  <w:marBottom w:val="0"/>
                  <w:divBdr>
                    <w:top w:val="none" w:sz="0" w:space="0" w:color="auto"/>
                    <w:left w:val="none" w:sz="0" w:space="0" w:color="auto"/>
                    <w:bottom w:val="none" w:sz="0" w:space="0" w:color="auto"/>
                    <w:right w:val="none" w:sz="0" w:space="0" w:color="auto"/>
                  </w:divBdr>
                  <w:divsChild>
                    <w:div w:id="27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0027">
      <w:bodyDiv w:val="1"/>
      <w:marLeft w:val="0"/>
      <w:marRight w:val="0"/>
      <w:marTop w:val="0"/>
      <w:marBottom w:val="0"/>
      <w:divBdr>
        <w:top w:val="none" w:sz="0" w:space="0" w:color="auto"/>
        <w:left w:val="none" w:sz="0" w:space="0" w:color="auto"/>
        <w:bottom w:val="none" w:sz="0" w:space="0" w:color="auto"/>
        <w:right w:val="none" w:sz="0" w:space="0" w:color="auto"/>
      </w:divBdr>
    </w:div>
    <w:div w:id="2013800241">
      <w:bodyDiv w:val="1"/>
      <w:marLeft w:val="0"/>
      <w:marRight w:val="0"/>
      <w:marTop w:val="0"/>
      <w:marBottom w:val="0"/>
      <w:divBdr>
        <w:top w:val="none" w:sz="0" w:space="0" w:color="auto"/>
        <w:left w:val="none" w:sz="0" w:space="0" w:color="auto"/>
        <w:bottom w:val="none" w:sz="0" w:space="0" w:color="auto"/>
        <w:right w:val="none" w:sz="0" w:space="0" w:color="auto"/>
      </w:divBdr>
    </w:div>
    <w:div w:id="2086030342">
      <w:bodyDiv w:val="1"/>
      <w:marLeft w:val="0"/>
      <w:marRight w:val="0"/>
      <w:marTop w:val="0"/>
      <w:marBottom w:val="0"/>
      <w:divBdr>
        <w:top w:val="none" w:sz="0" w:space="0" w:color="auto"/>
        <w:left w:val="none" w:sz="0" w:space="0" w:color="auto"/>
        <w:bottom w:val="none" w:sz="0" w:space="0" w:color="auto"/>
        <w:right w:val="none" w:sz="0" w:space="0" w:color="auto"/>
      </w:divBdr>
      <w:divsChild>
        <w:div w:id="1586499285">
          <w:marLeft w:val="0"/>
          <w:marRight w:val="0"/>
          <w:marTop w:val="0"/>
          <w:marBottom w:val="0"/>
          <w:divBdr>
            <w:top w:val="none" w:sz="0" w:space="0" w:color="auto"/>
            <w:left w:val="none" w:sz="0" w:space="0" w:color="auto"/>
            <w:bottom w:val="none" w:sz="0" w:space="0" w:color="auto"/>
            <w:right w:val="none" w:sz="0" w:space="0" w:color="auto"/>
          </w:divBdr>
          <w:divsChild>
            <w:div w:id="32463904">
              <w:marLeft w:val="0"/>
              <w:marRight w:val="0"/>
              <w:marTop w:val="0"/>
              <w:marBottom w:val="0"/>
              <w:divBdr>
                <w:top w:val="none" w:sz="0" w:space="0" w:color="auto"/>
                <w:left w:val="none" w:sz="0" w:space="0" w:color="auto"/>
                <w:bottom w:val="none" w:sz="0" w:space="0" w:color="auto"/>
                <w:right w:val="none" w:sz="0" w:space="0" w:color="auto"/>
              </w:divBdr>
              <w:divsChild>
                <w:div w:id="5957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AADA0-C959-0844-BE70-38F75FB00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47</Pages>
  <Words>41993</Words>
  <Characters>239366</Characters>
  <Application>Microsoft Office Word</Application>
  <DocSecurity>0</DocSecurity>
  <Lines>1994</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Elizabeth Stears</dc:creator>
  <cp:keywords/>
  <dc:description/>
  <cp:lastModifiedBy>Alice Elizabeth Stears</cp:lastModifiedBy>
  <cp:revision>3</cp:revision>
  <dcterms:created xsi:type="dcterms:W3CDTF">2022-04-25T16:09:00Z</dcterms:created>
  <dcterms:modified xsi:type="dcterms:W3CDTF">2022-04-25T16:26:00Z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cd7c4ad1-acf5-3117-a24e-e4dc812ff9b7</vt:lpwstr>
  </property>
  <property fmtid="{D5CDD505-2E9C-101B-9397-08002B2CF9AE}" pid="24" name="Mendeley Citation Style_1">
    <vt:lpwstr>http://www.zotero.org/styles/ecology</vt:lpwstr>
  </property>
</Properties>
</file>