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F476C" w14:textId="77777777" w:rsidR="005F0FF9" w:rsidRPr="00981B39" w:rsidRDefault="005F0FF9" w:rsidP="00EF48CE">
      <w:pPr>
        <w:spacing w:after="120" w:line="240" w:lineRule="auto"/>
        <w:rPr>
          <w:rFonts w:eastAsia="Calibri"/>
          <w:b/>
          <w:sz w:val="22"/>
          <w:szCs w:val="22"/>
          <w14:ligatures w14:val="none"/>
        </w:rPr>
      </w:pPr>
      <w:r w:rsidRPr="00981B39">
        <w:rPr>
          <w:rFonts w:eastAsia="Calibri"/>
          <w:b/>
          <w:sz w:val="22"/>
          <w:szCs w:val="22"/>
          <w14:ligatures w14:val="none"/>
        </w:rPr>
        <w:t>Analysis of Child Vaccination Availability, Access, and Uptake in the State of Georgia</w:t>
      </w:r>
    </w:p>
    <w:p w14:paraId="79C3F065" w14:textId="77777777" w:rsidR="005F0FF9" w:rsidRPr="00981B39" w:rsidRDefault="005F0FF9" w:rsidP="00EF48CE">
      <w:pPr>
        <w:tabs>
          <w:tab w:val="right" w:pos="9360"/>
        </w:tabs>
        <w:spacing w:after="120" w:line="240" w:lineRule="auto"/>
        <w:rPr>
          <w:rFonts w:eastAsia="Calibri"/>
          <w:sz w:val="22"/>
          <w:szCs w:val="22"/>
          <w14:ligatures w14:val="none"/>
        </w:rPr>
      </w:pPr>
    </w:p>
    <w:p w14:paraId="6CEA3DC3" w14:textId="77777777" w:rsidR="005F0FF9" w:rsidRPr="00981B39" w:rsidRDefault="005F0FF9" w:rsidP="00EF48CE">
      <w:pPr>
        <w:tabs>
          <w:tab w:val="left" w:pos="3600"/>
        </w:tabs>
        <w:spacing w:after="120" w:line="240" w:lineRule="auto"/>
        <w:ind w:left="3600" w:hanging="3600"/>
        <w:rPr>
          <w:rFonts w:eastAsia="Calibri"/>
          <w:sz w:val="22"/>
          <w:szCs w:val="22"/>
          <w14:ligatures w14:val="none"/>
        </w:rPr>
      </w:pPr>
      <w:r w:rsidRPr="00981B39">
        <w:rPr>
          <w:rFonts w:eastAsia="Calibri"/>
          <w:b/>
          <w:bCs/>
          <w:sz w:val="22"/>
          <w:szCs w:val="22"/>
          <w14:ligatures w14:val="none"/>
        </w:rPr>
        <w:t>Principal Investigator/Project Lead</w:t>
      </w:r>
      <w:r w:rsidRPr="00981B39">
        <w:rPr>
          <w:rFonts w:eastAsia="Calibri"/>
          <w:sz w:val="22"/>
          <w:szCs w:val="22"/>
          <w14:ligatures w14:val="none"/>
        </w:rPr>
        <w:t>:</w:t>
      </w:r>
      <w:r w:rsidRPr="00981B39">
        <w:rPr>
          <w:rFonts w:ascii="Calibri" w:eastAsia="Calibri" w:hAnsi="Calibri" w:cs="Calibri"/>
          <w:sz w:val="22"/>
          <w:szCs w:val="22"/>
          <w14:ligatures w14:val="none"/>
        </w:rPr>
        <w:tab/>
      </w:r>
      <w:r w:rsidRPr="00981B39">
        <w:rPr>
          <w:rFonts w:eastAsia="Calibri"/>
          <w:sz w:val="22"/>
          <w:szCs w:val="22"/>
          <w14:ligatures w14:val="none"/>
        </w:rPr>
        <w:t>Robert A. Bednarczyk, PhD, Associate Professor, Hubert Department of Global Health, Rollins School of Public Health, Emory University</w:t>
      </w:r>
    </w:p>
    <w:p w14:paraId="71505168" w14:textId="77777777" w:rsidR="005F0FF9" w:rsidRPr="00981B39" w:rsidRDefault="005F0FF9" w:rsidP="00EF48CE">
      <w:pPr>
        <w:tabs>
          <w:tab w:val="left" w:pos="3600"/>
        </w:tabs>
        <w:spacing w:after="120" w:line="240" w:lineRule="auto"/>
        <w:ind w:left="2016" w:hanging="2016"/>
        <w:rPr>
          <w:rFonts w:eastAsia="Calibri"/>
          <w:sz w:val="22"/>
          <w:szCs w:val="22"/>
          <w14:ligatures w14:val="none"/>
        </w:rPr>
      </w:pPr>
      <w:r w:rsidRPr="00981B39">
        <w:rPr>
          <w:rFonts w:eastAsia="Calibri"/>
          <w:b/>
          <w:bCs/>
          <w:sz w:val="22"/>
          <w:szCs w:val="22"/>
          <w14:ligatures w14:val="none"/>
        </w:rPr>
        <w:t>GDPH Collaborator</w:t>
      </w:r>
      <w:r w:rsidRPr="00981B39">
        <w:rPr>
          <w:rFonts w:eastAsia="Calibri"/>
          <w:sz w:val="22"/>
          <w:szCs w:val="22"/>
          <w14:ligatures w14:val="none"/>
        </w:rPr>
        <w:t>:</w:t>
      </w:r>
      <w:r w:rsidRPr="00981B39">
        <w:rPr>
          <w:rFonts w:ascii="Calibri" w:eastAsia="Calibri" w:hAnsi="Calibri" w:cs="Calibri"/>
          <w:sz w:val="22"/>
          <w:szCs w:val="22"/>
          <w14:ligatures w14:val="none"/>
        </w:rPr>
        <w:t xml:space="preserve"> </w:t>
      </w:r>
      <w:r w:rsidRPr="00981B39">
        <w:rPr>
          <w:rFonts w:eastAsia="Calibri"/>
          <w:sz w:val="22"/>
          <w:szCs w:val="22"/>
          <w14:ligatures w14:val="none"/>
        </w:rPr>
        <w:t>Nikki Griffin, Manager, Georgia Registry of Immunization Transactions and Services (GRITS), GDPH</w:t>
      </w:r>
    </w:p>
    <w:p w14:paraId="314FEE74" w14:textId="77777777" w:rsidR="005F0FF9" w:rsidRPr="00981B39" w:rsidRDefault="005F0FF9" w:rsidP="00EF48CE">
      <w:pPr>
        <w:tabs>
          <w:tab w:val="left" w:pos="2160"/>
        </w:tabs>
        <w:spacing w:after="0" w:line="240" w:lineRule="auto"/>
        <w:ind w:left="1987" w:hanging="1987"/>
        <w:rPr>
          <w:rFonts w:eastAsia="Calibri"/>
          <w:sz w:val="22"/>
          <w:szCs w:val="22"/>
          <w14:ligatures w14:val="none"/>
        </w:rPr>
      </w:pPr>
      <w:r w:rsidRPr="00981B39">
        <w:rPr>
          <w:rFonts w:eastAsia="Calibri"/>
          <w:b/>
          <w:bCs/>
          <w:sz w:val="22"/>
          <w:szCs w:val="22"/>
          <w14:ligatures w14:val="none"/>
        </w:rPr>
        <w:t>Sponsor</w:t>
      </w:r>
      <w:r w:rsidRPr="00981B39">
        <w:rPr>
          <w:rFonts w:eastAsia="Calibri"/>
          <w:sz w:val="22"/>
          <w:szCs w:val="22"/>
          <w14:ligatures w14:val="none"/>
        </w:rPr>
        <w:t xml:space="preserve">: US Centers for Disease Control and Prevention, Center for Forecasting and Outbreak </w:t>
      </w:r>
    </w:p>
    <w:p w14:paraId="627BB2BA" w14:textId="77777777" w:rsidR="005F0FF9" w:rsidRPr="00981B39" w:rsidRDefault="005F0FF9" w:rsidP="00EF48CE">
      <w:pPr>
        <w:tabs>
          <w:tab w:val="left" w:pos="2160"/>
        </w:tabs>
        <w:spacing w:after="0" w:line="240" w:lineRule="auto"/>
        <w:ind w:left="2822" w:hanging="1987"/>
        <w:rPr>
          <w:rFonts w:eastAsia="Calibri"/>
          <w:sz w:val="22"/>
          <w:szCs w:val="22"/>
          <w14:ligatures w14:val="none"/>
        </w:rPr>
      </w:pPr>
      <w:r w:rsidRPr="00981B39">
        <w:rPr>
          <w:rFonts w:eastAsia="Calibri"/>
          <w:sz w:val="22"/>
          <w:szCs w:val="22"/>
          <w14:ligatures w14:val="none"/>
        </w:rPr>
        <w:t>Analytics (CFA): Insight Net - National Outbreak Analytics &amp; Disease Modeling Network</w:t>
      </w:r>
    </w:p>
    <w:p w14:paraId="7C820EAE" w14:textId="587BC80E" w:rsidR="005F0FF9" w:rsidRPr="00981B39" w:rsidRDefault="005F0FF9" w:rsidP="00EF48CE">
      <w:pPr>
        <w:tabs>
          <w:tab w:val="left" w:pos="2160"/>
        </w:tabs>
        <w:spacing w:after="0" w:line="240" w:lineRule="auto"/>
        <w:ind w:left="2822" w:hanging="1987"/>
        <w:rPr>
          <w:rFonts w:eastAsia="Calibri"/>
          <w:sz w:val="22"/>
          <w:szCs w:val="22"/>
          <w14:ligatures w14:val="none"/>
        </w:rPr>
      </w:pPr>
      <w:r w:rsidRPr="00981B39">
        <w:rPr>
          <w:rFonts w:eastAsia="Calibri"/>
          <w:sz w:val="22"/>
          <w:szCs w:val="22"/>
          <w14:ligatures w14:val="none"/>
        </w:rPr>
        <w:t>Cooperative Agreement (CDC-RFA-FT-23-0069)</w:t>
      </w:r>
    </w:p>
    <w:p w14:paraId="3DEECA6A" w14:textId="77777777" w:rsidR="00787C1A" w:rsidRPr="00981B39" w:rsidRDefault="00787C1A" w:rsidP="00EF48CE">
      <w:pPr>
        <w:tabs>
          <w:tab w:val="left" w:pos="2160"/>
        </w:tabs>
        <w:spacing w:after="0" w:line="240" w:lineRule="auto"/>
        <w:ind w:left="2822" w:hanging="1987"/>
        <w:rPr>
          <w:rFonts w:eastAsia="Calibri"/>
          <w:sz w:val="22"/>
          <w:szCs w:val="22"/>
          <w14:ligatures w14:val="none"/>
        </w:rPr>
      </w:pPr>
    </w:p>
    <w:p w14:paraId="602EB58B" w14:textId="324C4691" w:rsidR="00ED00F7" w:rsidRPr="00981B39" w:rsidRDefault="00986A13" w:rsidP="00A33B38">
      <w:pPr>
        <w:spacing w:line="240" w:lineRule="auto"/>
        <w:ind w:firstLine="720"/>
        <w:rPr>
          <w:sz w:val="22"/>
          <w:szCs w:val="22"/>
        </w:rPr>
      </w:pPr>
      <w:r w:rsidRPr="00981B39">
        <w:rPr>
          <w:sz w:val="22"/>
          <w:szCs w:val="22"/>
        </w:rPr>
        <w:t xml:space="preserve">Childhood vaccines are </w:t>
      </w:r>
      <w:r w:rsidR="00A33B38">
        <w:rPr>
          <w:sz w:val="22"/>
          <w:szCs w:val="22"/>
        </w:rPr>
        <w:t>proven</w:t>
      </w:r>
      <w:r w:rsidRPr="00981B39">
        <w:rPr>
          <w:sz w:val="22"/>
          <w:szCs w:val="22"/>
        </w:rPr>
        <w:t xml:space="preserve"> to prevent common, severe illnes</w:t>
      </w:r>
      <w:r w:rsidR="00A33B38">
        <w:rPr>
          <w:sz w:val="22"/>
          <w:szCs w:val="22"/>
        </w:rPr>
        <w:t>se</w:t>
      </w:r>
      <w:r w:rsidRPr="00981B39">
        <w:rPr>
          <w:sz w:val="22"/>
          <w:szCs w:val="22"/>
        </w:rPr>
        <w:t xml:space="preserve">s in </w:t>
      </w:r>
      <w:r w:rsidR="00F7336A">
        <w:rPr>
          <w:sz w:val="22"/>
          <w:szCs w:val="22"/>
        </w:rPr>
        <w:t>i</w:t>
      </w:r>
      <w:r w:rsidRPr="00981B39">
        <w:rPr>
          <w:sz w:val="22"/>
          <w:szCs w:val="22"/>
        </w:rPr>
        <w:t>nfants and children</w:t>
      </w:r>
      <w:r w:rsidR="00C82A7B" w:rsidRPr="00981B39">
        <w:rPr>
          <w:sz w:val="22"/>
          <w:szCs w:val="22"/>
        </w:rPr>
        <w:t xml:space="preserve">. </w:t>
      </w:r>
      <w:r w:rsidR="00603053" w:rsidRPr="00981B39">
        <w:rPr>
          <w:sz w:val="22"/>
          <w:szCs w:val="22"/>
        </w:rPr>
        <w:t xml:space="preserve">However, </w:t>
      </w:r>
      <w:r w:rsidR="00C463F7">
        <w:rPr>
          <w:sz w:val="22"/>
          <w:szCs w:val="22"/>
        </w:rPr>
        <w:t>for various reasons, routine childhood vaccine uptake in</w:t>
      </w:r>
      <w:r w:rsidR="00603053" w:rsidRPr="00981B39">
        <w:rPr>
          <w:sz w:val="22"/>
          <w:szCs w:val="22"/>
        </w:rPr>
        <w:t xml:space="preserve"> Georgia has declined in recent years. </w:t>
      </w:r>
      <w:r w:rsidR="003140BF" w:rsidRPr="00981B39">
        <w:rPr>
          <w:sz w:val="22"/>
          <w:szCs w:val="22"/>
        </w:rPr>
        <w:t>Therefore,</w:t>
      </w:r>
      <w:r w:rsidR="003E0551" w:rsidRPr="00981B39">
        <w:rPr>
          <w:sz w:val="22"/>
          <w:szCs w:val="22"/>
        </w:rPr>
        <w:t xml:space="preserve"> there is a need to understand what potential </w:t>
      </w:r>
      <w:r w:rsidR="000A7464">
        <w:rPr>
          <w:sz w:val="22"/>
          <w:szCs w:val="22"/>
        </w:rPr>
        <w:t>behavioral and social drivers of vaccination</w:t>
      </w:r>
      <w:r w:rsidR="003E0551" w:rsidRPr="00981B39">
        <w:rPr>
          <w:sz w:val="22"/>
          <w:szCs w:val="22"/>
        </w:rPr>
        <w:t xml:space="preserve"> </w:t>
      </w:r>
      <w:r w:rsidR="00633653" w:rsidRPr="00981B39">
        <w:rPr>
          <w:sz w:val="22"/>
          <w:szCs w:val="22"/>
        </w:rPr>
        <w:t xml:space="preserve">could </w:t>
      </w:r>
      <w:r w:rsidR="00C463F7">
        <w:rPr>
          <w:sz w:val="22"/>
          <w:szCs w:val="22"/>
        </w:rPr>
        <w:t>lead</w:t>
      </w:r>
      <w:r w:rsidR="00633653" w:rsidRPr="00981B39">
        <w:rPr>
          <w:sz w:val="22"/>
          <w:szCs w:val="22"/>
        </w:rPr>
        <w:t xml:space="preserve"> to this decline.</w:t>
      </w:r>
      <w:r w:rsidR="0088061E" w:rsidRPr="00981B39">
        <w:rPr>
          <w:sz w:val="22"/>
          <w:szCs w:val="22"/>
        </w:rPr>
        <w:t xml:space="preserve"> Some potential </w:t>
      </w:r>
      <w:r w:rsidR="000A7464">
        <w:rPr>
          <w:sz w:val="22"/>
          <w:szCs w:val="22"/>
        </w:rPr>
        <w:t>drivers</w:t>
      </w:r>
      <w:r w:rsidR="0088061E" w:rsidRPr="00981B39">
        <w:rPr>
          <w:sz w:val="22"/>
          <w:szCs w:val="22"/>
        </w:rPr>
        <w:t xml:space="preserve"> that will be analyzed</w:t>
      </w:r>
      <w:r w:rsidR="00BF265B" w:rsidRPr="00981B39">
        <w:rPr>
          <w:sz w:val="22"/>
          <w:szCs w:val="22"/>
        </w:rPr>
        <w:t xml:space="preserve"> are the following: geographical data (</w:t>
      </w:r>
      <w:r w:rsidR="00F34370">
        <w:rPr>
          <w:sz w:val="22"/>
          <w:szCs w:val="22"/>
        </w:rPr>
        <w:t xml:space="preserve">health </w:t>
      </w:r>
      <w:proofErr w:type="spellStart"/>
      <w:r w:rsidR="00F34370">
        <w:rPr>
          <w:sz w:val="22"/>
          <w:szCs w:val="22"/>
        </w:rPr>
        <w:t>districts</w:t>
      </w:r>
      <w:proofErr w:type="spellEnd"/>
      <w:r w:rsidR="00F34370">
        <w:rPr>
          <w:sz w:val="22"/>
          <w:szCs w:val="22"/>
        </w:rPr>
        <w:t xml:space="preserve"> 1-10</w:t>
      </w:r>
      <w:r w:rsidR="00BF265B" w:rsidRPr="00981B39">
        <w:rPr>
          <w:sz w:val="22"/>
          <w:szCs w:val="22"/>
        </w:rPr>
        <w:t xml:space="preserve">), race/ethnicity, </w:t>
      </w:r>
      <w:r w:rsidR="009440EC">
        <w:rPr>
          <w:sz w:val="22"/>
          <w:szCs w:val="22"/>
        </w:rPr>
        <w:t xml:space="preserve">parental </w:t>
      </w:r>
      <w:r w:rsidR="00086DA3" w:rsidRPr="00981B39">
        <w:rPr>
          <w:sz w:val="22"/>
          <w:szCs w:val="22"/>
        </w:rPr>
        <w:t>insurance status</w:t>
      </w:r>
      <w:r w:rsidR="00333140" w:rsidRPr="00981B39">
        <w:rPr>
          <w:sz w:val="22"/>
          <w:szCs w:val="22"/>
        </w:rPr>
        <w:t>, and a</w:t>
      </w:r>
      <w:r w:rsidR="00086DA3" w:rsidRPr="00981B39">
        <w:rPr>
          <w:sz w:val="22"/>
          <w:szCs w:val="22"/>
        </w:rPr>
        <w:t>ge</w:t>
      </w:r>
      <w:r w:rsidR="00333140" w:rsidRPr="00981B39">
        <w:rPr>
          <w:sz w:val="22"/>
          <w:szCs w:val="22"/>
        </w:rPr>
        <w:t>.</w:t>
      </w:r>
      <w:r w:rsidR="0039281F" w:rsidRPr="00981B39">
        <w:rPr>
          <w:sz w:val="22"/>
          <w:szCs w:val="22"/>
        </w:rPr>
        <w:t xml:space="preserve"> In order to understand</w:t>
      </w:r>
      <w:r w:rsidR="003E1C48" w:rsidRPr="00981B39">
        <w:rPr>
          <w:sz w:val="22"/>
          <w:szCs w:val="22"/>
        </w:rPr>
        <w:t xml:space="preserve"> what </w:t>
      </w:r>
      <w:r w:rsidR="00BE7C08">
        <w:rPr>
          <w:sz w:val="22"/>
          <w:szCs w:val="22"/>
        </w:rPr>
        <w:t>social drivers</w:t>
      </w:r>
      <w:r w:rsidR="003E1C48" w:rsidRPr="00981B39">
        <w:rPr>
          <w:sz w:val="22"/>
          <w:szCs w:val="22"/>
        </w:rPr>
        <w:t xml:space="preserve"> are the most impactful, the following research question has been developed: </w:t>
      </w:r>
      <w:r w:rsidR="00AC77A2" w:rsidRPr="00981B39">
        <w:rPr>
          <w:b/>
          <w:bCs/>
          <w:sz w:val="22"/>
          <w:szCs w:val="22"/>
        </w:rPr>
        <w:t xml:space="preserve">What is the most </w:t>
      </w:r>
      <w:r w:rsidR="001134B7">
        <w:rPr>
          <w:b/>
          <w:bCs/>
          <w:sz w:val="22"/>
          <w:szCs w:val="22"/>
        </w:rPr>
        <w:t xml:space="preserve">up-to-date status </w:t>
      </w:r>
      <w:r w:rsidR="00D97432">
        <w:rPr>
          <w:b/>
          <w:bCs/>
          <w:sz w:val="22"/>
          <w:szCs w:val="22"/>
        </w:rPr>
        <w:t>across various one-year age cohorts and combinations of age c</w:t>
      </w:r>
      <w:r w:rsidR="009C755D">
        <w:rPr>
          <w:b/>
          <w:bCs/>
          <w:sz w:val="22"/>
          <w:szCs w:val="22"/>
        </w:rPr>
        <w:t xml:space="preserve">ohorts for all </w:t>
      </w:r>
      <w:r w:rsidR="00AF6F49">
        <w:rPr>
          <w:b/>
          <w:bCs/>
          <w:sz w:val="22"/>
          <w:szCs w:val="22"/>
        </w:rPr>
        <w:t>age-appropriate and indicated routine childhood vaccines</w:t>
      </w:r>
      <w:r w:rsidR="00AC77A2" w:rsidRPr="00981B39">
        <w:rPr>
          <w:b/>
          <w:bCs/>
          <w:sz w:val="22"/>
          <w:szCs w:val="22"/>
        </w:rPr>
        <w:t>?</w:t>
      </w:r>
      <w:r w:rsidR="00AC77A2" w:rsidRPr="00981B39">
        <w:rPr>
          <w:sz w:val="22"/>
          <w:szCs w:val="22"/>
        </w:rPr>
        <w:t xml:space="preserve"> </w:t>
      </w:r>
      <w:r w:rsidR="00953BB6">
        <w:rPr>
          <w:sz w:val="22"/>
          <w:szCs w:val="22"/>
        </w:rPr>
        <w:t>The various routine childhood vaccines in question are as follows:</w:t>
      </w:r>
      <w:r w:rsidR="007A52BB">
        <w:rPr>
          <w:sz w:val="22"/>
          <w:szCs w:val="22"/>
        </w:rPr>
        <w:t xml:space="preserve"> Hepatitis B, </w:t>
      </w:r>
      <w:r w:rsidR="00C26590">
        <w:rPr>
          <w:sz w:val="22"/>
          <w:szCs w:val="22"/>
        </w:rPr>
        <w:t xml:space="preserve">Rotavirus, DTaP, Hib, </w:t>
      </w:r>
      <w:r w:rsidR="00647F02">
        <w:rPr>
          <w:sz w:val="22"/>
          <w:szCs w:val="22"/>
        </w:rPr>
        <w:t xml:space="preserve">Pneumococcal, Polio, COVID-19, Influenza, MMR, Chickenpox, and </w:t>
      </w:r>
      <w:r w:rsidR="00C26590">
        <w:rPr>
          <w:sz w:val="22"/>
          <w:szCs w:val="22"/>
        </w:rPr>
        <w:t>Hepatitis A</w:t>
      </w:r>
      <w:r w:rsidR="00647F02">
        <w:rPr>
          <w:sz w:val="22"/>
          <w:szCs w:val="22"/>
        </w:rPr>
        <w:t>.</w:t>
      </w:r>
      <w:r w:rsidR="00953BB6">
        <w:rPr>
          <w:sz w:val="22"/>
          <w:szCs w:val="22"/>
        </w:rPr>
        <w:t xml:space="preserve"> </w:t>
      </w:r>
      <w:r w:rsidR="003A4D3B" w:rsidRPr="00981B39">
        <w:rPr>
          <w:sz w:val="22"/>
          <w:szCs w:val="22"/>
        </w:rPr>
        <w:t>To answer this, various analyses will be conducted.</w:t>
      </w:r>
    </w:p>
    <w:p w14:paraId="648B5294" w14:textId="1F591DB7" w:rsidR="00BA2B39" w:rsidRPr="00981B39" w:rsidRDefault="0088061E" w:rsidP="00A33B38">
      <w:pPr>
        <w:spacing w:line="240" w:lineRule="auto"/>
        <w:ind w:firstLine="720"/>
        <w:rPr>
          <w:sz w:val="22"/>
          <w:szCs w:val="22"/>
        </w:rPr>
      </w:pPr>
      <w:r w:rsidRPr="00981B39">
        <w:rPr>
          <w:sz w:val="22"/>
          <w:szCs w:val="22"/>
        </w:rPr>
        <w:t xml:space="preserve"> </w:t>
      </w:r>
      <w:r w:rsidR="00AC2292" w:rsidRPr="00981B39">
        <w:rPr>
          <w:sz w:val="22"/>
          <w:szCs w:val="22"/>
        </w:rPr>
        <w:t xml:space="preserve">Analyses will be conducted </w:t>
      </w:r>
      <w:r w:rsidR="00A64828" w:rsidRPr="00981B39">
        <w:rPr>
          <w:sz w:val="22"/>
          <w:szCs w:val="22"/>
        </w:rPr>
        <w:t xml:space="preserve">using data from the </w:t>
      </w:r>
      <w:r w:rsidR="00B67B50" w:rsidRPr="00981B39">
        <w:rPr>
          <w:sz w:val="22"/>
          <w:szCs w:val="22"/>
        </w:rPr>
        <w:t>Georgia Registry of Immunization Transactions and Services (</w:t>
      </w:r>
      <w:r w:rsidR="00576E07" w:rsidRPr="00981B39">
        <w:rPr>
          <w:sz w:val="22"/>
          <w:szCs w:val="22"/>
        </w:rPr>
        <w:t>GRITS</w:t>
      </w:r>
      <w:r w:rsidR="00B67B50" w:rsidRPr="00981B39">
        <w:rPr>
          <w:sz w:val="22"/>
          <w:szCs w:val="22"/>
        </w:rPr>
        <w:t>)</w:t>
      </w:r>
      <w:r w:rsidR="00576E07" w:rsidRPr="00981B39">
        <w:rPr>
          <w:sz w:val="22"/>
          <w:szCs w:val="22"/>
        </w:rPr>
        <w:t xml:space="preserve"> database </w:t>
      </w:r>
      <w:r w:rsidR="00B67B50" w:rsidRPr="00981B39">
        <w:rPr>
          <w:sz w:val="22"/>
          <w:szCs w:val="22"/>
        </w:rPr>
        <w:t>with cooperation between Emory-University</w:t>
      </w:r>
      <w:r w:rsidR="00A33B38">
        <w:rPr>
          <w:sz w:val="22"/>
          <w:szCs w:val="22"/>
        </w:rPr>
        <w:t>-</w:t>
      </w:r>
      <w:r w:rsidR="00B67B50" w:rsidRPr="00981B39">
        <w:rPr>
          <w:sz w:val="22"/>
          <w:szCs w:val="22"/>
        </w:rPr>
        <w:t xml:space="preserve">based teams and the Georgia Department of Public Health. </w:t>
      </w:r>
    </w:p>
    <w:p w14:paraId="6DEBB456" w14:textId="79DBF85C" w:rsidR="00BA2B39" w:rsidRPr="00981B39" w:rsidRDefault="001E73B8" w:rsidP="00A33B38">
      <w:pPr>
        <w:spacing w:line="240" w:lineRule="auto"/>
        <w:ind w:firstLine="720"/>
        <w:rPr>
          <w:sz w:val="22"/>
          <w:szCs w:val="22"/>
        </w:rPr>
      </w:pPr>
      <w:r w:rsidRPr="00981B39">
        <w:rPr>
          <w:sz w:val="22"/>
          <w:szCs w:val="22"/>
        </w:rPr>
        <w:t xml:space="preserve">Data will be included </w:t>
      </w:r>
      <w:r w:rsidR="00331703" w:rsidRPr="00981B39">
        <w:rPr>
          <w:sz w:val="22"/>
          <w:szCs w:val="22"/>
        </w:rPr>
        <w:t>from</w:t>
      </w:r>
      <w:r w:rsidR="00BA2B39" w:rsidRPr="00981B39">
        <w:rPr>
          <w:sz w:val="22"/>
          <w:szCs w:val="22"/>
        </w:rPr>
        <w:t xml:space="preserve"> R</w:t>
      </w:r>
      <w:r w:rsidR="00331703" w:rsidRPr="00981B39">
        <w:rPr>
          <w:sz w:val="22"/>
          <w:szCs w:val="22"/>
        </w:rPr>
        <w:t>outine</w:t>
      </w:r>
      <w:r w:rsidR="005B7ECA" w:rsidRPr="00981B39">
        <w:rPr>
          <w:sz w:val="22"/>
          <w:szCs w:val="22"/>
        </w:rPr>
        <w:t xml:space="preserve"> childhood vaccinations for children born on or after Jan 1, 2014</w:t>
      </w:r>
      <w:r w:rsidR="00BA2B39" w:rsidRPr="00981B39">
        <w:rPr>
          <w:sz w:val="22"/>
          <w:szCs w:val="22"/>
        </w:rPr>
        <w:t xml:space="preserve">, </w:t>
      </w:r>
      <w:r w:rsidR="00D8029E" w:rsidRPr="00981B39">
        <w:rPr>
          <w:sz w:val="22"/>
          <w:szCs w:val="22"/>
        </w:rPr>
        <w:t>v</w:t>
      </w:r>
      <w:r w:rsidR="00BA2B39" w:rsidRPr="00981B39">
        <w:rPr>
          <w:sz w:val="22"/>
          <w:szCs w:val="22"/>
        </w:rPr>
        <w:t>accine provider data</w:t>
      </w:r>
      <w:r w:rsidR="00A33B38">
        <w:rPr>
          <w:sz w:val="22"/>
          <w:szCs w:val="22"/>
        </w:rPr>
        <w:t>,</w:t>
      </w:r>
      <w:r w:rsidR="00BA2B39" w:rsidRPr="00981B39">
        <w:rPr>
          <w:sz w:val="22"/>
          <w:szCs w:val="22"/>
        </w:rPr>
        <w:t xml:space="preserve"> and vaccine order data since Jan 1, 2014.</w:t>
      </w:r>
    </w:p>
    <w:p w14:paraId="0034165B" w14:textId="438EDA7D" w:rsidR="00BA2B39" w:rsidRPr="00981B39" w:rsidRDefault="00E26059" w:rsidP="00A33B38">
      <w:pPr>
        <w:pStyle w:val="ListBullet"/>
        <w:numPr>
          <w:ilvl w:val="0"/>
          <w:numId w:val="0"/>
        </w:numPr>
        <w:spacing w:line="240" w:lineRule="auto"/>
        <w:ind w:firstLine="720"/>
        <w:rPr>
          <w:sz w:val="22"/>
          <w:szCs w:val="22"/>
        </w:rPr>
      </w:pPr>
      <w:r w:rsidRPr="00981B39">
        <w:rPr>
          <w:sz w:val="22"/>
          <w:szCs w:val="22"/>
        </w:rPr>
        <w:t>Firstly, a d</w:t>
      </w:r>
      <w:r w:rsidR="006B0467" w:rsidRPr="00981B39">
        <w:rPr>
          <w:sz w:val="22"/>
          <w:szCs w:val="22"/>
        </w:rPr>
        <w:t>escriptive statistics table</w:t>
      </w:r>
      <w:r w:rsidR="00AD6043" w:rsidRPr="00981B39">
        <w:rPr>
          <w:sz w:val="22"/>
          <w:szCs w:val="22"/>
        </w:rPr>
        <w:t xml:space="preserve"> (</w:t>
      </w:r>
      <w:r w:rsidR="00AD6043" w:rsidRPr="00981B39">
        <w:rPr>
          <w:b/>
          <w:bCs/>
          <w:sz w:val="22"/>
          <w:szCs w:val="22"/>
        </w:rPr>
        <w:t>Table 1)</w:t>
      </w:r>
      <w:r w:rsidR="006B0467" w:rsidRPr="00981B39">
        <w:rPr>
          <w:sz w:val="22"/>
          <w:szCs w:val="22"/>
        </w:rPr>
        <w:t xml:space="preserve"> will be created by</w:t>
      </w:r>
      <w:r w:rsidR="007B7FDA" w:rsidRPr="00981B39">
        <w:rPr>
          <w:sz w:val="22"/>
          <w:szCs w:val="22"/>
        </w:rPr>
        <w:t xml:space="preserve"> organizing patients by</w:t>
      </w:r>
      <w:r w:rsidR="00E10B6A">
        <w:rPr>
          <w:sz w:val="22"/>
          <w:szCs w:val="22"/>
        </w:rPr>
        <w:t xml:space="preserve"> birth cohort, including information on</w:t>
      </w:r>
      <w:r w:rsidR="007B7FDA" w:rsidRPr="00981B39">
        <w:rPr>
          <w:sz w:val="22"/>
          <w:szCs w:val="22"/>
        </w:rPr>
        <w:t xml:space="preserve"> </w:t>
      </w:r>
      <w:r w:rsidR="0007428C" w:rsidRPr="00981B39">
        <w:rPr>
          <w:sz w:val="22"/>
          <w:szCs w:val="22"/>
        </w:rPr>
        <w:t xml:space="preserve">Sex, Age, Race/Ethnicity, </w:t>
      </w:r>
      <w:r w:rsidR="00EE49A3">
        <w:rPr>
          <w:sz w:val="22"/>
          <w:szCs w:val="22"/>
        </w:rPr>
        <w:t>Health District</w:t>
      </w:r>
      <w:r w:rsidR="00A71E2E" w:rsidRPr="00981B39">
        <w:rPr>
          <w:sz w:val="22"/>
          <w:szCs w:val="22"/>
        </w:rPr>
        <w:t xml:space="preserve">, and </w:t>
      </w:r>
      <w:r w:rsidR="00EE49A3">
        <w:rPr>
          <w:sz w:val="22"/>
          <w:szCs w:val="22"/>
        </w:rPr>
        <w:t>Parental i</w:t>
      </w:r>
      <w:r w:rsidR="0007428C" w:rsidRPr="00981B39">
        <w:rPr>
          <w:sz w:val="22"/>
          <w:szCs w:val="22"/>
        </w:rPr>
        <w:t>nsurance</w:t>
      </w:r>
      <w:r w:rsidR="00A71E2E" w:rsidRPr="00981B39">
        <w:rPr>
          <w:sz w:val="22"/>
          <w:szCs w:val="22"/>
        </w:rPr>
        <w:t xml:space="preserve"> </w:t>
      </w:r>
      <w:r w:rsidR="00EE49A3">
        <w:rPr>
          <w:sz w:val="22"/>
          <w:szCs w:val="22"/>
        </w:rPr>
        <w:t>s</w:t>
      </w:r>
      <w:r w:rsidR="0007428C" w:rsidRPr="00981B39">
        <w:rPr>
          <w:sz w:val="22"/>
          <w:szCs w:val="22"/>
        </w:rPr>
        <w:t>tatus</w:t>
      </w:r>
      <w:r w:rsidR="00B11844">
        <w:rPr>
          <w:sz w:val="22"/>
          <w:szCs w:val="22"/>
        </w:rPr>
        <w:t>.</w:t>
      </w:r>
      <w:r w:rsidR="00537D81">
        <w:rPr>
          <w:sz w:val="22"/>
          <w:szCs w:val="22"/>
        </w:rPr>
        <w:t xml:space="preserve"> Each column will represent the labeled birth cohort starting </w:t>
      </w:r>
      <w:r w:rsidR="00F93C7C">
        <w:rPr>
          <w:sz w:val="22"/>
          <w:szCs w:val="22"/>
        </w:rPr>
        <w:t>in</w:t>
      </w:r>
      <w:r w:rsidR="00537D81">
        <w:rPr>
          <w:sz w:val="22"/>
          <w:szCs w:val="22"/>
        </w:rPr>
        <w:t xml:space="preserve"> 2014 and ending </w:t>
      </w:r>
      <w:r w:rsidR="00F93C7C">
        <w:rPr>
          <w:sz w:val="22"/>
          <w:szCs w:val="22"/>
        </w:rPr>
        <w:t>in</w:t>
      </w:r>
      <w:r w:rsidR="00537D81">
        <w:rPr>
          <w:sz w:val="22"/>
          <w:szCs w:val="22"/>
        </w:rPr>
        <w:t xml:space="preserve"> 2023. Each cohort will be color</w:t>
      </w:r>
      <w:r w:rsidR="00F93C7C">
        <w:rPr>
          <w:sz w:val="22"/>
          <w:szCs w:val="22"/>
        </w:rPr>
        <w:t>-</w:t>
      </w:r>
      <w:r w:rsidR="00537D81">
        <w:rPr>
          <w:sz w:val="22"/>
          <w:szCs w:val="22"/>
        </w:rPr>
        <w:t xml:space="preserve">coded for easier </w:t>
      </w:r>
      <w:r w:rsidR="00F93C7C">
        <w:rPr>
          <w:sz w:val="22"/>
          <w:szCs w:val="22"/>
        </w:rPr>
        <w:t xml:space="preserve">readability and will include an overall column from every cohort marked in grey. </w:t>
      </w:r>
      <w:r w:rsidR="007C6212">
        <w:rPr>
          <w:sz w:val="22"/>
          <w:szCs w:val="22"/>
        </w:rPr>
        <w:t>The rows will include the previously mentioned variables.</w:t>
      </w:r>
    </w:p>
    <w:p w14:paraId="6CA8D8DF" w14:textId="011C82C7" w:rsidR="009B47B0" w:rsidRPr="00981B39" w:rsidRDefault="00A71E2E" w:rsidP="00A33B38">
      <w:pPr>
        <w:spacing w:line="240" w:lineRule="auto"/>
        <w:ind w:firstLine="720"/>
        <w:rPr>
          <w:sz w:val="22"/>
          <w:szCs w:val="22"/>
        </w:rPr>
      </w:pPr>
      <w:r w:rsidRPr="6DC1FDC9">
        <w:rPr>
          <w:sz w:val="22"/>
          <w:szCs w:val="22"/>
        </w:rPr>
        <w:t>V</w:t>
      </w:r>
      <w:r w:rsidR="00CB0E2D" w:rsidRPr="6DC1FDC9">
        <w:rPr>
          <w:sz w:val="22"/>
          <w:szCs w:val="22"/>
        </w:rPr>
        <w:t xml:space="preserve">accine adherence will be determined </w:t>
      </w:r>
      <w:r w:rsidR="00327A4F" w:rsidRPr="6DC1FDC9">
        <w:rPr>
          <w:sz w:val="22"/>
          <w:szCs w:val="22"/>
        </w:rPr>
        <w:t xml:space="preserve">by </w:t>
      </w:r>
      <w:r w:rsidR="00BE6984" w:rsidRPr="6DC1FDC9">
        <w:rPr>
          <w:sz w:val="22"/>
          <w:szCs w:val="22"/>
        </w:rPr>
        <w:t xml:space="preserve">first grouping </w:t>
      </w:r>
      <w:r w:rsidR="000838B1" w:rsidRPr="6DC1FDC9">
        <w:rPr>
          <w:sz w:val="22"/>
          <w:szCs w:val="22"/>
        </w:rPr>
        <w:t xml:space="preserve">into </w:t>
      </w:r>
      <w:r w:rsidR="00B11844" w:rsidRPr="6DC1FDC9">
        <w:rPr>
          <w:b/>
          <w:bCs/>
          <w:sz w:val="22"/>
          <w:szCs w:val="22"/>
        </w:rPr>
        <w:t xml:space="preserve">three </w:t>
      </w:r>
      <w:r w:rsidR="009B47B0" w:rsidRPr="6DC1FDC9">
        <w:rPr>
          <w:b/>
          <w:bCs/>
          <w:sz w:val="22"/>
          <w:szCs w:val="22"/>
        </w:rPr>
        <w:t>groups</w:t>
      </w:r>
      <w:r w:rsidR="005E6946" w:rsidRPr="6DC1FDC9">
        <w:rPr>
          <w:b/>
          <w:bCs/>
          <w:sz w:val="22"/>
          <w:szCs w:val="22"/>
        </w:rPr>
        <w:t xml:space="preserve"> by </w:t>
      </w:r>
      <w:r w:rsidR="00B11844" w:rsidRPr="6DC1FDC9">
        <w:rPr>
          <w:b/>
          <w:bCs/>
          <w:sz w:val="22"/>
          <w:szCs w:val="22"/>
        </w:rPr>
        <w:t>one</w:t>
      </w:r>
      <w:r w:rsidR="0063658F" w:rsidRPr="6DC1FDC9">
        <w:rPr>
          <w:b/>
          <w:bCs/>
          <w:sz w:val="22"/>
          <w:szCs w:val="22"/>
        </w:rPr>
        <w:t>-</w:t>
      </w:r>
      <w:r w:rsidR="00B11844" w:rsidRPr="6DC1FDC9">
        <w:rPr>
          <w:b/>
          <w:bCs/>
          <w:sz w:val="22"/>
          <w:szCs w:val="22"/>
        </w:rPr>
        <w:t>year</w:t>
      </w:r>
      <w:r w:rsidR="007C36AE" w:rsidRPr="6DC1FDC9">
        <w:rPr>
          <w:b/>
          <w:bCs/>
          <w:sz w:val="22"/>
          <w:szCs w:val="22"/>
        </w:rPr>
        <w:t xml:space="preserve"> cohort </w:t>
      </w:r>
      <w:r w:rsidR="00B11844" w:rsidRPr="6DC1FDC9">
        <w:rPr>
          <w:b/>
          <w:bCs/>
          <w:sz w:val="22"/>
          <w:szCs w:val="22"/>
        </w:rPr>
        <w:t>or combination of birth</w:t>
      </w:r>
      <w:r w:rsidR="007C36AE" w:rsidRPr="6DC1FDC9">
        <w:rPr>
          <w:b/>
          <w:bCs/>
          <w:sz w:val="22"/>
          <w:szCs w:val="22"/>
        </w:rPr>
        <w:t xml:space="preserve"> cohorts</w:t>
      </w:r>
      <w:r w:rsidR="00B11844" w:rsidRPr="6DC1FDC9">
        <w:rPr>
          <w:b/>
          <w:bCs/>
          <w:sz w:val="22"/>
          <w:szCs w:val="22"/>
        </w:rPr>
        <w:t xml:space="preserve"> </w:t>
      </w:r>
      <w:r w:rsidR="006B0467" w:rsidRPr="6DC1FDC9">
        <w:rPr>
          <w:b/>
          <w:bCs/>
          <w:sz w:val="22"/>
          <w:szCs w:val="22"/>
        </w:rPr>
        <w:t>(Table 2)</w:t>
      </w:r>
      <w:r w:rsidR="005E6946" w:rsidRPr="6DC1FDC9">
        <w:rPr>
          <w:sz w:val="22"/>
          <w:szCs w:val="22"/>
        </w:rPr>
        <w:t xml:space="preserve"> </w:t>
      </w:r>
      <w:r w:rsidR="00A040D7" w:rsidRPr="6DC1FDC9">
        <w:rPr>
          <w:sz w:val="22"/>
          <w:szCs w:val="22"/>
        </w:rPr>
        <w:t xml:space="preserve">following the </w:t>
      </w:r>
      <w:r w:rsidR="005E6946" w:rsidRPr="6DC1FDC9">
        <w:rPr>
          <w:sz w:val="22"/>
          <w:szCs w:val="22"/>
        </w:rPr>
        <w:t>(</w:t>
      </w:r>
      <w:hyperlink r:id="rId8">
        <w:r w:rsidR="005E6946" w:rsidRPr="6DC1FDC9">
          <w:rPr>
            <w:rStyle w:val="Hyperlink"/>
            <w:sz w:val="22"/>
            <w:szCs w:val="22"/>
          </w:rPr>
          <w:t>CDC Guidelines</w:t>
        </w:r>
      </w:hyperlink>
      <w:r w:rsidR="005E6946" w:rsidRPr="6DC1FDC9">
        <w:rPr>
          <w:sz w:val="22"/>
          <w:szCs w:val="22"/>
        </w:rPr>
        <w:t>)</w:t>
      </w:r>
      <w:r w:rsidR="00A040D7" w:rsidRPr="6DC1FDC9">
        <w:rPr>
          <w:sz w:val="22"/>
          <w:szCs w:val="22"/>
        </w:rPr>
        <w:t xml:space="preserve"> schedule</w:t>
      </w:r>
      <w:r w:rsidR="009B47B0" w:rsidRPr="6DC1FDC9">
        <w:rPr>
          <w:sz w:val="22"/>
          <w:szCs w:val="22"/>
        </w:rPr>
        <w:t xml:space="preserve">: </w:t>
      </w:r>
    </w:p>
    <w:p w14:paraId="5B931D40" w14:textId="3C440A96" w:rsidR="009B47B0" w:rsidRPr="00981B39" w:rsidRDefault="009B47B0" w:rsidP="6DC1FDC9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6DC1FDC9">
        <w:rPr>
          <w:sz w:val="22"/>
          <w:szCs w:val="22"/>
          <w:u w:val="single"/>
        </w:rPr>
        <w:t>Routine schedule</w:t>
      </w:r>
      <w:r w:rsidRPr="6DC1FDC9">
        <w:rPr>
          <w:sz w:val="22"/>
          <w:szCs w:val="22"/>
        </w:rPr>
        <w:t xml:space="preserve"> </w:t>
      </w:r>
      <w:r w:rsidR="00822C5C" w:rsidRPr="6DC1FDC9">
        <w:rPr>
          <w:sz w:val="22"/>
          <w:szCs w:val="22"/>
        </w:rPr>
        <w:t>–</w:t>
      </w:r>
      <w:r w:rsidRPr="6DC1FDC9">
        <w:rPr>
          <w:sz w:val="22"/>
          <w:szCs w:val="22"/>
        </w:rPr>
        <w:t xml:space="preserve"> </w:t>
      </w:r>
      <w:r w:rsidR="00C91219" w:rsidRPr="6DC1FDC9">
        <w:rPr>
          <w:sz w:val="22"/>
          <w:szCs w:val="22"/>
        </w:rPr>
        <w:t xml:space="preserve">Received all </w:t>
      </w:r>
      <w:r w:rsidR="0031222B" w:rsidRPr="6DC1FDC9">
        <w:rPr>
          <w:sz w:val="22"/>
          <w:szCs w:val="22"/>
        </w:rPr>
        <w:t>age-appropriate</w:t>
      </w:r>
      <w:r w:rsidR="00175BD2" w:rsidRPr="6DC1FDC9">
        <w:rPr>
          <w:sz w:val="22"/>
          <w:szCs w:val="22"/>
        </w:rPr>
        <w:t xml:space="preserve"> vaccines</w:t>
      </w:r>
      <w:r w:rsidR="007C36AE" w:rsidRPr="6DC1FDC9">
        <w:rPr>
          <w:sz w:val="22"/>
          <w:szCs w:val="22"/>
        </w:rPr>
        <w:t xml:space="preserve"> b</w:t>
      </w:r>
      <w:r w:rsidR="006170E8" w:rsidRPr="6DC1FDC9">
        <w:rPr>
          <w:sz w:val="22"/>
          <w:szCs w:val="22"/>
        </w:rPr>
        <w:t>y CDC recommended timeline: Hepatitis B, Rotavirus, DTaP, Hib, Pneumococcal, Polio, COVID-19, MMR, Chickenpox, and Hepatitis A.</w:t>
      </w:r>
    </w:p>
    <w:p w14:paraId="2D005C1C" w14:textId="0852D696" w:rsidR="00C62744" w:rsidRPr="00981B39" w:rsidRDefault="00351760" w:rsidP="6DC1FDC9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6DC1FDC9">
        <w:rPr>
          <w:sz w:val="22"/>
          <w:szCs w:val="22"/>
          <w:u w:val="single"/>
        </w:rPr>
        <w:t>Alternative Schedule</w:t>
      </w:r>
      <w:r w:rsidRPr="6DC1FDC9">
        <w:rPr>
          <w:sz w:val="22"/>
          <w:szCs w:val="22"/>
        </w:rPr>
        <w:t xml:space="preserve"> – Did not receive </w:t>
      </w:r>
      <w:r w:rsidR="00A33B38" w:rsidRPr="6DC1FDC9">
        <w:rPr>
          <w:sz w:val="22"/>
          <w:szCs w:val="22"/>
        </w:rPr>
        <w:t>two</w:t>
      </w:r>
      <w:r w:rsidRPr="6DC1FDC9">
        <w:rPr>
          <w:sz w:val="22"/>
          <w:szCs w:val="22"/>
        </w:rPr>
        <w:t xml:space="preserve"> or more </w:t>
      </w:r>
      <w:r w:rsidR="00A040D7" w:rsidRPr="6DC1FDC9">
        <w:rPr>
          <w:sz w:val="22"/>
          <w:szCs w:val="22"/>
        </w:rPr>
        <w:t>age-appropriate</w:t>
      </w:r>
      <w:r w:rsidRPr="6DC1FDC9">
        <w:rPr>
          <w:sz w:val="22"/>
          <w:szCs w:val="22"/>
        </w:rPr>
        <w:t xml:space="preserve"> routine vaccines </w:t>
      </w:r>
    </w:p>
    <w:p w14:paraId="46CBF428" w14:textId="29A66748" w:rsidR="0031222B" w:rsidRDefault="00E6710D" w:rsidP="6DC1FDC9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6DC1FDC9">
        <w:rPr>
          <w:sz w:val="22"/>
          <w:szCs w:val="22"/>
          <w:u w:val="single"/>
        </w:rPr>
        <w:t>Unknown</w:t>
      </w:r>
      <w:r w:rsidR="00FF34D7" w:rsidRPr="6DC1FDC9">
        <w:rPr>
          <w:sz w:val="22"/>
          <w:szCs w:val="22"/>
        </w:rPr>
        <w:t xml:space="preserve"> – Missing data or incorrect data found</w:t>
      </w:r>
    </w:p>
    <w:p w14:paraId="47FAFF54" w14:textId="202AAFE1" w:rsidR="00BB2B93" w:rsidRPr="00981B39" w:rsidRDefault="00BB2B93" w:rsidP="6DC1FDC9">
      <w:pPr>
        <w:spacing w:line="240" w:lineRule="auto"/>
        <w:ind w:firstLine="720"/>
        <w:rPr>
          <w:sz w:val="22"/>
          <w:szCs w:val="22"/>
        </w:rPr>
      </w:pPr>
      <w:r w:rsidRPr="67A0577B">
        <w:rPr>
          <w:sz w:val="22"/>
          <w:szCs w:val="22"/>
        </w:rPr>
        <w:t>Table 2 will display this information</w:t>
      </w:r>
      <w:r w:rsidR="02E0BD2C" w:rsidRPr="67A0577B">
        <w:rPr>
          <w:sz w:val="22"/>
          <w:szCs w:val="22"/>
        </w:rPr>
        <w:t>, following each child from birth to 4-6 years of age</w:t>
      </w:r>
      <w:r w:rsidR="76494A78" w:rsidRPr="67A0577B">
        <w:rPr>
          <w:sz w:val="22"/>
          <w:szCs w:val="22"/>
        </w:rPr>
        <w:t xml:space="preserve"> for each 1-year </w:t>
      </w:r>
      <w:r w:rsidR="00301E97">
        <w:rPr>
          <w:sz w:val="22"/>
          <w:szCs w:val="22"/>
        </w:rPr>
        <w:t xml:space="preserve">birth </w:t>
      </w:r>
      <w:r w:rsidR="76494A78" w:rsidRPr="67A0577B">
        <w:rPr>
          <w:sz w:val="22"/>
          <w:szCs w:val="22"/>
        </w:rPr>
        <w:t>cohort.</w:t>
      </w:r>
      <w:r w:rsidR="001C3537" w:rsidRPr="67A0577B">
        <w:rPr>
          <w:sz w:val="22"/>
          <w:szCs w:val="22"/>
        </w:rPr>
        <w:t xml:space="preserve"> </w:t>
      </w:r>
      <w:r w:rsidR="2ADED5D8" w:rsidRPr="67A0577B">
        <w:rPr>
          <w:sz w:val="22"/>
          <w:szCs w:val="22"/>
        </w:rPr>
        <w:t>It will start</w:t>
      </w:r>
      <w:r w:rsidR="001C3537" w:rsidRPr="67A0577B">
        <w:rPr>
          <w:sz w:val="22"/>
          <w:szCs w:val="22"/>
        </w:rPr>
        <w:t xml:space="preserve"> with the overall vaccine adherence per single vaccine</w:t>
      </w:r>
      <w:r w:rsidR="00A33B38" w:rsidRPr="67A0577B">
        <w:rPr>
          <w:sz w:val="22"/>
          <w:szCs w:val="22"/>
        </w:rPr>
        <w:t>, which is</w:t>
      </w:r>
      <w:r w:rsidR="001C3537" w:rsidRPr="67A0577B">
        <w:rPr>
          <w:sz w:val="22"/>
          <w:szCs w:val="22"/>
        </w:rPr>
        <w:t xml:space="preserve"> divided into each cohort with </w:t>
      </w:r>
      <w:r w:rsidR="00EA5AED" w:rsidRPr="67A0577B">
        <w:rPr>
          <w:sz w:val="22"/>
          <w:szCs w:val="22"/>
        </w:rPr>
        <w:t>vaccine</w:t>
      </w:r>
      <w:r w:rsidR="001906B5" w:rsidRPr="67A0577B">
        <w:rPr>
          <w:sz w:val="22"/>
          <w:szCs w:val="22"/>
        </w:rPr>
        <w:t>-</w:t>
      </w:r>
      <w:r w:rsidR="00A33B38" w:rsidRPr="67A0577B">
        <w:rPr>
          <w:sz w:val="22"/>
          <w:szCs w:val="22"/>
        </w:rPr>
        <w:t>specific</w:t>
      </w:r>
      <w:r w:rsidR="00EA5AED" w:rsidRPr="67A0577B">
        <w:rPr>
          <w:sz w:val="22"/>
          <w:szCs w:val="22"/>
        </w:rPr>
        <w:t xml:space="preserve"> adherence. The cohort</w:t>
      </w:r>
      <w:r w:rsidR="00A33B38" w:rsidRPr="67A0577B">
        <w:rPr>
          <w:sz w:val="22"/>
          <w:szCs w:val="22"/>
        </w:rPr>
        <w:t>'</w:t>
      </w:r>
      <w:r w:rsidR="00EA5AED" w:rsidRPr="67A0577B">
        <w:rPr>
          <w:sz w:val="22"/>
          <w:szCs w:val="22"/>
        </w:rPr>
        <w:t xml:space="preserve">s </w:t>
      </w:r>
      <w:r w:rsidR="00A33B38" w:rsidRPr="67A0577B">
        <w:rPr>
          <w:sz w:val="22"/>
          <w:szCs w:val="22"/>
        </w:rPr>
        <w:t>vaccine adherence will be measured in the three previous categories and follow the color coding shown in Table 1.</w:t>
      </w:r>
    </w:p>
    <w:p w14:paraId="47A289F1" w14:textId="2F0FE334" w:rsidR="00981B39" w:rsidRPr="00981B39" w:rsidRDefault="00971E55" w:rsidP="00981B39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 secondary analysis will be conducted </w:t>
      </w:r>
      <w:r w:rsidR="00116A70">
        <w:rPr>
          <w:sz w:val="22"/>
          <w:szCs w:val="22"/>
        </w:rPr>
        <w:t xml:space="preserve">to assess the disparities in the timeliness of vaccine uptake by one-year cohorts and </w:t>
      </w:r>
      <w:r w:rsidR="001906B5">
        <w:rPr>
          <w:sz w:val="22"/>
          <w:szCs w:val="22"/>
        </w:rPr>
        <w:t xml:space="preserve">a </w:t>
      </w:r>
      <w:r w:rsidR="00116A70">
        <w:rPr>
          <w:sz w:val="22"/>
          <w:szCs w:val="22"/>
        </w:rPr>
        <w:t>combination of birth cohorts.</w:t>
      </w:r>
    </w:p>
    <w:sectPr w:rsidR="00981B39" w:rsidRPr="00981B39" w:rsidSect="00FB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63CBA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7433F7"/>
    <w:multiLevelType w:val="hybridMultilevel"/>
    <w:tmpl w:val="F716C0A6"/>
    <w:lvl w:ilvl="0" w:tplc="16B47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86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44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29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8A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CC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C7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2B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56C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0361"/>
    <w:multiLevelType w:val="hybridMultilevel"/>
    <w:tmpl w:val="8EE6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895843">
    <w:abstractNumId w:val="1"/>
  </w:num>
  <w:num w:numId="2" w16cid:durableId="1227495010">
    <w:abstractNumId w:val="2"/>
  </w:num>
  <w:num w:numId="3" w16cid:durableId="27617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1MrCwNAEyzU0MzJR0lIJTi4sz8/NACkxrAaReE4gsAAAA"/>
  </w:docVars>
  <w:rsids>
    <w:rsidRoot w:val="00EF6F3C"/>
    <w:rsid w:val="00000F9B"/>
    <w:rsid w:val="00030794"/>
    <w:rsid w:val="00052EDE"/>
    <w:rsid w:val="000666BD"/>
    <w:rsid w:val="0007428C"/>
    <w:rsid w:val="000838B1"/>
    <w:rsid w:val="00086DA3"/>
    <w:rsid w:val="000A7464"/>
    <w:rsid w:val="000D3E20"/>
    <w:rsid w:val="000D6D9C"/>
    <w:rsid w:val="001134B7"/>
    <w:rsid w:val="00116A70"/>
    <w:rsid w:val="00175BD2"/>
    <w:rsid w:val="001906B5"/>
    <w:rsid w:val="001A0BE8"/>
    <w:rsid w:val="001A5DD6"/>
    <w:rsid w:val="001A6EB8"/>
    <w:rsid w:val="001C3537"/>
    <w:rsid w:val="001E5128"/>
    <w:rsid w:val="001E73B8"/>
    <w:rsid w:val="002103EA"/>
    <w:rsid w:val="00224366"/>
    <w:rsid w:val="002629FC"/>
    <w:rsid w:val="002A494A"/>
    <w:rsid w:val="002C191E"/>
    <w:rsid w:val="00301E97"/>
    <w:rsid w:val="0031222B"/>
    <w:rsid w:val="003140BF"/>
    <w:rsid w:val="00327A4F"/>
    <w:rsid w:val="00331703"/>
    <w:rsid w:val="00333140"/>
    <w:rsid w:val="00351760"/>
    <w:rsid w:val="0039281F"/>
    <w:rsid w:val="00396C87"/>
    <w:rsid w:val="003A1750"/>
    <w:rsid w:val="003A4D3B"/>
    <w:rsid w:val="003E0551"/>
    <w:rsid w:val="003E1C48"/>
    <w:rsid w:val="004219F6"/>
    <w:rsid w:val="0043449E"/>
    <w:rsid w:val="004831D4"/>
    <w:rsid w:val="004D11F4"/>
    <w:rsid w:val="00537D81"/>
    <w:rsid w:val="00576E07"/>
    <w:rsid w:val="00587728"/>
    <w:rsid w:val="005A6A0A"/>
    <w:rsid w:val="005B7ECA"/>
    <w:rsid w:val="005E6946"/>
    <w:rsid w:val="005F0FF9"/>
    <w:rsid w:val="00603053"/>
    <w:rsid w:val="006170E8"/>
    <w:rsid w:val="0062038A"/>
    <w:rsid w:val="00633653"/>
    <w:rsid w:val="0063658F"/>
    <w:rsid w:val="00647F02"/>
    <w:rsid w:val="00664020"/>
    <w:rsid w:val="00673749"/>
    <w:rsid w:val="006859DB"/>
    <w:rsid w:val="006A09BD"/>
    <w:rsid w:val="006A0EFD"/>
    <w:rsid w:val="006A3BFB"/>
    <w:rsid w:val="006B0467"/>
    <w:rsid w:val="00755E08"/>
    <w:rsid w:val="00760DDB"/>
    <w:rsid w:val="00766A2E"/>
    <w:rsid w:val="007736C1"/>
    <w:rsid w:val="00787C1A"/>
    <w:rsid w:val="007A52BB"/>
    <w:rsid w:val="007A65F2"/>
    <w:rsid w:val="007B7FDA"/>
    <w:rsid w:val="007C36AE"/>
    <w:rsid w:val="007C6212"/>
    <w:rsid w:val="007E682E"/>
    <w:rsid w:val="008110F2"/>
    <w:rsid w:val="00822C5C"/>
    <w:rsid w:val="008804E7"/>
    <w:rsid w:val="0088061E"/>
    <w:rsid w:val="008F7A19"/>
    <w:rsid w:val="009378C4"/>
    <w:rsid w:val="009440EC"/>
    <w:rsid w:val="00953BB6"/>
    <w:rsid w:val="00971E55"/>
    <w:rsid w:val="00981B39"/>
    <w:rsid w:val="00986A13"/>
    <w:rsid w:val="009B47B0"/>
    <w:rsid w:val="009C755D"/>
    <w:rsid w:val="00A040D7"/>
    <w:rsid w:val="00A337DB"/>
    <w:rsid w:val="00A33B38"/>
    <w:rsid w:val="00A3598B"/>
    <w:rsid w:val="00A64828"/>
    <w:rsid w:val="00A71E2E"/>
    <w:rsid w:val="00AB393D"/>
    <w:rsid w:val="00AC2292"/>
    <w:rsid w:val="00AC77A2"/>
    <w:rsid w:val="00AD0EC4"/>
    <w:rsid w:val="00AD6043"/>
    <w:rsid w:val="00AF6F49"/>
    <w:rsid w:val="00AF772B"/>
    <w:rsid w:val="00B10329"/>
    <w:rsid w:val="00B11844"/>
    <w:rsid w:val="00B57F8A"/>
    <w:rsid w:val="00B67B50"/>
    <w:rsid w:val="00B70114"/>
    <w:rsid w:val="00B815D0"/>
    <w:rsid w:val="00BA2B39"/>
    <w:rsid w:val="00BB2B93"/>
    <w:rsid w:val="00BE6984"/>
    <w:rsid w:val="00BE7C08"/>
    <w:rsid w:val="00BF265B"/>
    <w:rsid w:val="00C26590"/>
    <w:rsid w:val="00C26BBD"/>
    <w:rsid w:val="00C463F7"/>
    <w:rsid w:val="00C62744"/>
    <w:rsid w:val="00C82A7B"/>
    <w:rsid w:val="00C91219"/>
    <w:rsid w:val="00CB0E2D"/>
    <w:rsid w:val="00CB74F8"/>
    <w:rsid w:val="00D45FFD"/>
    <w:rsid w:val="00D8029E"/>
    <w:rsid w:val="00D956EC"/>
    <w:rsid w:val="00D97432"/>
    <w:rsid w:val="00DA4B0A"/>
    <w:rsid w:val="00DE70B8"/>
    <w:rsid w:val="00E03930"/>
    <w:rsid w:val="00E10B6A"/>
    <w:rsid w:val="00E20A16"/>
    <w:rsid w:val="00E22622"/>
    <w:rsid w:val="00E26059"/>
    <w:rsid w:val="00E43CCD"/>
    <w:rsid w:val="00E6710D"/>
    <w:rsid w:val="00E81691"/>
    <w:rsid w:val="00EA0ADC"/>
    <w:rsid w:val="00EA5AED"/>
    <w:rsid w:val="00ED00F7"/>
    <w:rsid w:val="00EE49A3"/>
    <w:rsid w:val="00EF48CE"/>
    <w:rsid w:val="00EF6F3C"/>
    <w:rsid w:val="00F021A8"/>
    <w:rsid w:val="00F34370"/>
    <w:rsid w:val="00F64DB3"/>
    <w:rsid w:val="00F7336A"/>
    <w:rsid w:val="00F9395C"/>
    <w:rsid w:val="00F93C7C"/>
    <w:rsid w:val="00FA33FE"/>
    <w:rsid w:val="00FB3C97"/>
    <w:rsid w:val="00FD591B"/>
    <w:rsid w:val="00FF34D7"/>
    <w:rsid w:val="02E0BD2C"/>
    <w:rsid w:val="054B9758"/>
    <w:rsid w:val="2247B903"/>
    <w:rsid w:val="2ADED5D8"/>
    <w:rsid w:val="2CCE09C2"/>
    <w:rsid w:val="67A0577B"/>
    <w:rsid w:val="6DC1FDC9"/>
    <w:rsid w:val="72064457"/>
    <w:rsid w:val="764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48ADB"/>
  <w15:chartTrackingRefBased/>
  <w15:docId w15:val="{DCF7A649-0FD9-4F51-B161-6398C60C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F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F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F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F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F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F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F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F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F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F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F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F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F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F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F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F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F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9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930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BA2B3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vaccines/imz-schedules/child-easyread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C84EDBDE4894C9CF769F033D7E055" ma:contentTypeVersion="0" ma:contentTypeDescription="Create a new document." ma:contentTypeScope="" ma:versionID="b75bc4d21b1f19529e0b39760cd7c7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13A6FC-16C8-4162-97BD-6727A0E9F028}"/>
</file>

<file path=customXml/itemProps2.xml><?xml version="1.0" encoding="utf-8"?>
<ds:datastoreItem xmlns:ds="http://schemas.openxmlformats.org/officeDocument/2006/customXml" ds:itemID="{5D79BF47-04E2-4594-972F-F7FB2CEB8B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CC2A3-072F-46A3-BFB5-71DAFA64ADA5}">
  <ds:schemaRefs>
    <ds:schemaRef ds:uri="http://schemas.microsoft.com/office/2006/metadata/properties"/>
    <ds:schemaRef ds:uri="http://schemas.microsoft.com/office/infopath/2007/PartnerControls"/>
    <ds:schemaRef ds:uri="48032555-7842-40af-b068-81bc8b105b6d"/>
    <ds:schemaRef ds:uri="9fc5fa20-e441-4b84-b756-d619557906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534</Words>
  <Characters>3047</Characters>
  <Application>Microsoft Office Word</Application>
  <DocSecurity>4</DocSecurity>
  <Lines>25</Lines>
  <Paragraphs>7</Paragraphs>
  <ScaleCrop>false</ScaleCrop>
  <Company/>
  <LinksUpToDate>false</LinksUpToDate>
  <CharactersWithSpaces>3574</CharactersWithSpaces>
  <SharedDoc>false</SharedDoc>
  <HLinks>
    <vt:vector size="6" baseType="variant">
      <vt:variant>
        <vt:i4>7536683</vt:i4>
      </vt:variant>
      <vt:variant>
        <vt:i4>0</vt:i4>
      </vt:variant>
      <vt:variant>
        <vt:i4>0</vt:i4>
      </vt:variant>
      <vt:variant>
        <vt:i4>5</vt:i4>
      </vt:variant>
      <vt:variant>
        <vt:lpwstr>https://www.cdc.gov/vaccines/imz-schedules/child-easyread.html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Estes</dc:creator>
  <cp:keywords/>
  <dc:description/>
  <cp:lastModifiedBy>Estes, Aidan</cp:lastModifiedBy>
  <cp:revision>134</cp:revision>
  <dcterms:created xsi:type="dcterms:W3CDTF">2024-08-30T22:48:00Z</dcterms:created>
  <dcterms:modified xsi:type="dcterms:W3CDTF">2024-10-08T20:48:00Z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0x010100DE0C84EDBDE4894C9CF769F033D7E055</vt:lpwstr>
  </property>
  <property fmtid="{D5CDD505-2E9C-101B-9397-08002B2CF9AE}" pid="3" name="MediaServiceImageTags">
    <vt:lpwstr/>
  </property>
</Properties>
</file>