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43B" w:rsidRDefault="0010243B"/>
    <w:p w:rsidR="0010243B" w:rsidRDefault="0010243B"/>
    <w:p w:rsidR="0010243B" w:rsidRDefault="008C70F5">
      <w:pPr>
        <w:jc w:val="center"/>
        <w:rPr>
          <w:rFonts w:ascii="Average" w:eastAsia="Average" w:hAnsi="Average" w:cs="Average"/>
          <w:sz w:val="48"/>
          <w:szCs w:val="48"/>
        </w:rPr>
      </w:pPr>
      <w:r>
        <w:rPr>
          <w:rFonts w:ascii="Average" w:eastAsia="Average" w:hAnsi="Average" w:cs="Average"/>
          <w:sz w:val="48"/>
          <w:szCs w:val="48"/>
        </w:rPr>
        <w:t>2019 OS Project 2</w:t>
      </w:r>
    </w:p>
    <w:p w:rsidR="0010243B" w:rsidRDefault="008C70F5">
      <w:pPr>
        <w:jc w:val="center"/>
        <w:rPr>
          <w:rFonts w:ascii="Average" w:eastAsia="Average" w:hAnsi="Average" w:cs="Average"/>
        </w:rPr>
      </w:pPr>
      <w:r>
        <w:rPr>
          <w:rFonts w:ascii="Average" w:eastAsia="Average" w:hAnsi="Average" w:cs="Average"/>
          <w:sz w:val="48"/>
          <w:szCs w:val="48"/>
        </w:rPr>
        <w:t>Synchronous Virtual Device Report</w:t>
      </w:r>
    </w:p>
    <w:p w:rsidR="0010243B" w:rsidRDefault="0010243B"/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 xml:space="preserve">資工二 b06902093 王彥仁 </w:t>
      </w:r>
    </w:p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 xml:space="preserve">資工二 b06902026 吳秉柔 </w:t>
      </w:r>
    </w:p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 xml:space="preserve">資工二 b06902041 吳采耘 </w:t>
      </w:r>
    </w:p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 xml:space="preserve">資工二 b06902054 蔡宥杏 </w:t>
      </w:r>
    </w:p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 xml:space="preserve">醫學三 b05401009 謝德威 </w:t>
      </w:r>
    </w:p>
    <w:p w:rsidR="0010243B" w:rsidRDefault="008C70F5">
      <w:pPr>
        <w:jc w:val="center"/>
      </w:pPr>
      <w:r>
        <w:rPr>
          <w:rFonts w:ascii="Arial Unicode MS" w:eastAsia="Arial Unicode MS" w:hAnsi="Arial Unicode MS" w:cs="Arial Unicode MS"/>
        </w:rPr>
        <w:t>電機五 b03901056 孫凡耕</w:t>
      </w:r>
    </w:p>
    <w:p w:rsidR="0010243B" w:rsidRDefault="008C70F5">
      <w:pPr>
        <w:pStyle w:val="1"/>
      </w:pPr>
      <w:bookmarkStart w:id="0" w:name="_vw6te2nv099d" w:colFirst="0" w:colLast="0"/>
      <w:bookmarkEnd w:id="0"/>
      <w:r>
        <w:t>Programming design</w:t>
      </w:r>
    </w:p>
    <w:p w:rsidR="0010243B" w:rsidRDefault="008C70F5">
      <w:pPr>
        <w:pStyle w:val="2"/>
      </w:pPr>
      <w:bookmarkStart w:id="1" w:name="_zcskm6yukoww" w:colFirst="0" w:colLast="0"/>
      <w:bookmarkEnd w:id="1"/>
      <w:r>
        <w:t>Device</w:t>
      </w:r>
    </w:p>
    <w:p w:rsidR="0010243B" w:rsidRDefault="008C70F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我們在master_device和slave_device中增加mmap的部分。</w:t>
      </w:r>
    </w:p>
    <w:p w:rsidR="0010243B" w:rsidRDefault="0010243B">
      <w:pPr>
        <w:rPr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master_device.c 和 slave_device.c的共同mmap部分程式碼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my_mmap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(struct file *filp, struct vm_area_struct *vma);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mmap_open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(struct vm_area_struct *vma) {}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mmap_close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(struct vm_area_struct *vma) {}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file_operations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master_fops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.owner = THIS_MODULE,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.unlocked_ioctl = master_ioctl,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.open = master_open,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.write = send_msg,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.release = master_close,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.mmap = my_mmap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my_mmap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(struct file *filp, struct vm_area_struct *vma)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(remap_pfn_range(vma,vma-&gt;vm_start,vma-&gt;vm_pgoff,vma-&gt;vm_end    </w:t>
            </w:r>
          </w:p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   - vma-&gt;vm_start, vma-&gt;vm_page_prot))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-EIO;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lastRenderedPageBreak/>
              <w:t xml:space="preserve">    vma-&gt;vm_flags |= VM_RESERVED;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vma-&gt;vm_private_data = filp-&gt;private_data;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vma-&gt;vm_ops = &amp;mmap_vm_ops;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mmap_open(vma);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:rsidR="0010243B" w:rsidRDefault="0010243B">
      <w:pPr>
        <w:rPr>
          <w:sz w:val="24"/>
          <w:szCs w:val="24"/>
        </w:rPr>
      </w:pPr>
    </w:p>
    <w:p w:rsidR="0010243B" w:rsidRDefault="0010243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master_device.c中mmap程式碼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ret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ksend(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sockfd_cli, file-&gt;private_data, ioctl_param,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slave_device.c中mmap程式碼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ret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krecv(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sockfd_cli, file-&gt;private_data, PAGE_SIZE,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</w:p>
        </w:tc>
      </w:tr>
    </w:tbl>
    <w:p w:rsidR="0010243B" w:rsidRDefault="0010243B"/>
    <w:p w:rsidR="0010243B" w:rsidRDefault="008C70F5">
      <w:pPr>
        <w:pStyle w:val="2"/>
      </w:pPr>
      <w:bookmarkStart w:id="2" w:name="_ghyz3j55fl51" w:colFirst="0" w:colLast="0"/>
      <w:bookmarkEnd w:id="2"/>
      <w:r>
        <w:t>Master</w:t>
      </w:r>
    </w:p>
    <w:p w:rsidR="0010243B" w:rsidRDefault="008C70F5">
      <w:pPr>
        <w:rPr>
          <w:b/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  <w:highlight w:val="white"/>
        </w:rPr>
        <w:t>Master使用mmap把檔案"file_fd"mapping至記憶體中，稱為src，接著使用將mmap後的檔案寫入"dev_fd"。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首先在第一個while迴圈中，我們設定offset作為下一次傳送的起點。因此在</w:t>
      </w:r>
      <w:r w:rsidR="003E09E8">
        <w:rPr>
          <w:rFonts w:ascii="新細明體" w:eastAsia="新細明體" w:hAnsi="新細明體" w:cs="新細明體" w:hint="eastAsia"/>
          <w:color w:val="333333"/>
          <w:sz w:val="24"/>
          <w:szCs w:val="24"/>
          <w:highlight w:val="white"/>
        </w:rPr>
        <w:t>前兩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個if中，我們利用mmap取得一塊memory，若回傳-1則代表mmap失敗，並顯示錯誤訊息。在接下來的do-while迴圈中，我們利用write指令將檔案內容從檔案本身的memory寫入透過mmap獲得的memory中，設定if條件防止傳送超過檔案大小的內容，並更新offset。而若offset超過檔案大小或是mmap的memory已滿，便跳出do-while迴圈，透過munmap指令把memory還給系統。而若offset的大小未滿檔案大小，則繼續留在第一個迴圈中，繼續下一次傳送。</w:t>
      </w:r>
    </w:p>
    <w:p w:rsidR="0010243B" w:rsidRDefault="0010243B"/>
    <w:p w:rsidR="0010243B" w:rsidRDefault="0010243B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master.c中mmap程式碼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(offset &lt; file_size)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(src = mmap(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PAGE_SIZE, PROT_READ, MAP_SHARED, file_fd,  </w:t>
            </w:r>
          </w:p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      offset)) == (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*)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perror(</w:t>
            </w:r>
            <w:proofErr w:type="gram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"mapping input file"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((dst = mmap(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PAGE_SIZE, PROT_WRITE, MAP_SHARED, dev_fd, </w:t>
            </w:r>
          </w:p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      offset)) == (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*)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perror(</w:t>
            </w:r>
            <w:proofErr w:type="gram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"mapping output device"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do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len = (offset + BUF_SIZE &gt; file_size ? file_size % BUF_SIZE </w:t>
            </w:r>
          </w:p>
          <w:p w:rsidR="00A04269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                 : BUF_SIZE);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memcpy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dst, src, len);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offset += len;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ioctl(dev_fd,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0x12345678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len);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(offset &lt; file_size &amp;&amp; offset % PAGE_SIZE !=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munmap(src, PAGE_SIZE);</w:t>
            </w:r>
          </w:p>
          <w:p w:rsidR="0010243B" w:rsidRDefault="00A0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EastAsia" w:hAnsiTheme="minorEastAsia" w:cs="Consolas" w:hint="eastAsia"/>
                <w:color w:val="333333"/>
                <w:shd w:val="clear" w:color="auto" w:fill="F8F8F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ioctl(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dev_fd,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0x1234567</w:t>
            </w:r>
            <w:r w:rsidR="001B566B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 w:rsidR="00F143C6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 w:rsidR="00F143C6" w:rsidRPr="00F143C6">
              <w:rPr>
                <w:rFonts w:ascii="Consolas" w:eastAsia="Consolas" w:hAnsi="Consolas" w:cs="Consolas"/>
                <w:color w:val="4F81BD" w:themeColor="accent1"/>
                <w:shd w:val="clear" w:color="auto" w:fill="F8F8F8"/>
              </w:rPr>
              <w:t>unsigned long</w:t>
            </w:r>
            <w:r w:rsidR="00F143C6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)src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:rsidR="0010243B" w:rsidRDefault="0010243B"/>
    <w:p w:rsidR="0010243B" w:rsidRDefault="008C70F5">
      <w:pPr>
        <w:pStyle w:val="2"/>
      </w:pPr>
      <w:bookmarkStart w:id="3" w:name="_16gl7sstn3ka" w:colFirst="0" w:colLast="0"/>
      <w:bookmarkEnd w:id="3"/>
      <w:r>
        <w:t>Slave</w:t>
      </w:r>
    </w:p>
    <w:p w:rsidR="0010243B" w:rsidRDefault="008C70F5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Slave會read從"dev_fd"進來的資料，當新資料是達到mmap_size之後，會將檔案"file_fd"mmap一個新的dst，最後再將read近來的buf用memcpy寫到dst裡。</w:t>
      </w:r>
    </w:p>
    <w:p w:rsidR="0010243B" w:rsidRDefault="0010243B">
      <w:pPr>
        <w:rPr>
          <w:sz w:val="24"/>
          <w:szCs w:val="24"/>
        </w:rPr>
      </w:pPr>
    </w:p>
    <w:p w:rsidR="0010243B" w:rsidRDefault="008C70F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首先在第一個while迴圈中，我們設定ret作為在memory中訊息的大小。在第一個if條件中，若目前檔案大小到達memory的極限，便munmap目前的memory並抹去目前檔案大小加上一塊memory大小後的檔案內容，然後重新mmap一塊新的memory。之後利用memcpy把memory中的內容寫入檔案中，並更新檔案大小。最後在memory中沒有訊息後，便抹去檔案中超過目前檔案大小的內容，利用munmap歸還memory。</w:t>
      </w:r>
    </w:p>
    <w:p w:rsidR="0010243B" w:rsidRDefault="0010243B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slave.c中mmap程式碼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DE9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((ret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read(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dev_fd, buf,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(buf))) &gt;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(file_size % mmap_size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(file_size) </w:t>
            </w:r>
            <w:r w:rsidR="00FB1DE9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</w:p>
          <w:p w:rsidR="00FB1DE9" w:rsidRDefault="008C70F5" w:rsidP="00FB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600" w:firstLine="1320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munmap(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dst, mmap_size);</w:t>
            </w:r>
          </w:p>
          <w:p w:rsidR="00FB1DE9" w:rsidRDefault="00FB1DE9" w:rsidP="00FB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600" w:firstLine="1320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ioctl(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dev_fd,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0x12345676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(</w:t>
            </w:r>
            <w:r w:rsidRPr="00F143C6">
              <w:rPr>
                <w:rFonts w:ascii="Consolas" w:eastAsia="Consolas" w:hAnsi="Consolas" w:cs="Consolas"/>
                <w:color w:val="4F81BD" w:themeColor="accent1"/>
                <w:shd w:val="clear" w:color="auto" w:fill="F8F8F8"/>
              </w:rPr>
              <w:t>unsigned long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)dst);</w:t>
            </w:r>
          </w:p>
          <w:p w:rsidR="00FB1DE9" w:rsidRDefault="00FB1DE9" w:rsidP="00FB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80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}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ftruncate(file_fd, file_size+mmap_size);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</w:t>
            </w:r>
            <w:r w:rsidR="008C70F5"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((dst = mmap(</w:t>
            </w:r>
            <w:r w:rsidR="008C70F5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mmap_size, PROT_READ | PROT_WRITE,   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   MAP_SHARED, file_fd, file_size)) == (</w:t>
            </w:r>
            <w:r w:rsidR="008C70F5"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*) </w:t>
            </w:r>
            <w:r w:rsidR="008C70F5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   perror(</w:t>
            </w:r>
            <w:r w:rsidR="008C70F5"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"mapping output file"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   </w:t>
            </w:r>
            <w:r w:rsidR="008C70F5"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 w:rsidR="008C70F5"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}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}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 w:rsidR="008C70F5"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memcpy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(&amp;dst[file_size%mmap_size], buf, ret);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file_size += ret;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>};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ftruncate(file_fd, file_size);</w:t>
            </w:r>
          </w:p>
          <w:p w:rsidR="0010243B" w:rsidRDefault="00FB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ioctl(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dev_fd,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0x12345676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(</w:t>
            </w:r>
            <w:r w:rsidRPr="00F143C6">
              <w:rPr>
                <w:rFonts w:ascii="Consolas" w:eastAsia="Consolas" w:hAnsi="Consolas" w:cs="Consolas"/>
                <w:color w:val="4F81BD" w:themeColor="accent1"/>
                <w:shd w:val="clear" w:color="auto" w:fill="F8F8F8"/>
              </w:rPr>
              <w:t>unsigned long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dst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 w:rsidR="008C70F5"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munmap(dst, mmap_size);</w:t>
            </w:r>
          </w:p>
        </w:tc>
      </w:tr>
    </w:tbl>
    <w:p w:rsidR="0010243B" w:rsidRDefault="0010243B"/>
    <w:p w:rsidR="00743AC0" w:rsidRDefault="00743AC0">
      <w:pPr>
        <w:rPr>
          <w:sz w:val="40"/>
          <w:szCs w:val="40"/>
        </w:rPr>
      </w:pPr>
      <w:bookmarkStart w:id="4" w:name="_o6ctgpxkhqk1" w:colFirst="0" w:colLast="0"/>
      <w:bookmarkEnd w:id="4"/>
      <w:r>
        <w:br w:type="page"/>
      </w:r>
    </w:p>
    <w:p w:rsidR="0010243B" w:rsidRDefault="008C70F5">
      <w:pPr>
        <w:pStyle w:val="1"/>
      </w:pPr>
      <w:r>
        <w:lastRenderedPageBreak/>
        <w:t>The Result</w:t>
      </w:r>
    </w:p>
    <w:p w:rsidR="000D69E5" w:rsidRDefault="000D69E5" w:rsidP="000D69E5">
      <w:pPr>
        <w:rPr>
          <w:rFonts w:eastAsia="微軟正黑體"/>
          <w:sz w:val="24"/>
          <w:szCs w:val="24"/>
        </w:rPr>
      </w:pPr>
      <w:bookmarkStart w:id="5" w:name="_2gydcwpju5lw" w:colFirst="0" w:colLast="0"/>
      <w:bookmarkEnd w:id="5"/>
      <w:r>
        <w:rPr>
          <w:rFonts w:ascii="Arial Unicode MS" w:eastAsia="微軟正黑體" w:hAnsi="Arial Unicode MS" w:cs="Arial Unicode MS" w:hint="eastAsia"/>
          <w:sz w:val="24"/>
          <w:szCs w:val="24"/>
        </w:rPr>
        <w:t>我們將</w:t>
      </w:r>
      <w:r>
        <w:rPr>
          <w:rFonts w:ascii="Arial Unicode MS" w:eastAsia="微軟正黑體" w:hAnsi="Arial Unicode MS" w:cs="Arial Unicode MS"/>
          <w:sz w:val="24"/>
          <w:szCs w:val="24"/>
        </w:rPr>
        <w:t>4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組測試資料分別以</w:t>
      </w:r>
      <w:r>
        <w:rPr>
          <w:rFonts w:ascii="Arial Unicode MS" w:eastAsia="微軟正黑體" w:hAnsi="Arial Unicode MS" w:cs="Arial Unicode MS"/>
          <w:sz w:val="24"/>
          <w:szCs w:val="24"/>
        </w:rPr>
        <w:t>Master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、</w:t>
      </w:r>
      <w:r>
        <w:rPr>
          <w:rFonts w:ascii="Arial Unicode MS" w:eastAsia="微軟正黑體" w:hAnsi="Arial Unicode MS" w:cs="Arial Unicode MS"/>
          <w:sz w:val="24"/>
          <w:szCs w:val="24"/>
        </w:rPr>
        <w:t>Slave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皆採</w:t>
      </w:r>
      <w:r>
        <w:rPr>
          <w:rFonts w:ascii="Arial Unicode MS" w:eastAsia="微軟正黑體" w:hAnsi="Arial Unicode MS" w:cs="Arial Unicode MS"/>
          <w:sz w:val="24"/>
          <w:szCs w:val="24"/>
        </w:rPr>
        <w:t>fcntl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或</w:t>
      </w:r>
      <w:r>
        <w:rPr>
          <w:rFonts w:ascii="Arial Unicode MS" w:eastAsia="微軟正黑體" w:hAnsi="Arial Unicode MS" w:cs="Arial Unicode MS"/>
          <w:sz w:val="24"/>
          <w:szCs w:val="24"/>
        </w:rPr>
        <w:t>mmap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進行多次測試，扣除極端值後，將有效資料數量、平均值與標準差表列如下：</w:t>
      </w:r>
    </w:p>
    <w:p w:rsidR="000D69E5" w:rsidRDefault="000D69E5" w:rsidP="000D69E5">
      <w:pPr>
        <w:rPr>
          <w:rFonts w:eastAsia="微軟正黑體"/>
        </w:rPr>
      </w:pPr>
    </w:p>
    <w:tbl>
      <w:tblPr>
        <w:tblStyle w:val="2-4"/>
        <w:tblW w:w="8925" w:type="dxa"/>
        <w:tblInd w:w="0" w:type="dxa"/>
        <w:tblLayout w:type="fixed"/>
        <w:tblLook w:val="0420" w:firstRow="1" w:lastRow="0" w:firstColumn="0" w:lastColumn="0" w:noHBand="0" w:noVBand="1"/>
      </w:tblPr>
      <w:tblGrid>
        <w:gridCol w:w="901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0D69E5" w:rsidTr="000D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00" w:type="dxa"/>
            <w:vMerge w:val="restart"/>
            <w:tcBorders>
              <w:left w:val="nil"/>
              <w:bottom w:val="single" w:sz="2" w:space="0" w:color="B2A1C7" w:themeColor="accent4" w:themeTint="99"/>
            </w:tcBorders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  <w:b w:val="0"/>
              </w:rPr>
            </w:pPr>
          </w:p>
        </w:tc>
        <w:tc>
          <w:tcPr>
            <w:tcW w:w="4012" w:type="dxa"/>
            <w:gridSpan w:val="4"/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fcntl to fcntl</w:t>
            </w:r>
          </w:p>
        </w:tc>
        <w:tc>
          <w:tcPr>
            <w:tcW w:w="4012" w:type="dxa"/>
            <w:gridSpan w:val="4"/>
            <w:tcBorders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mmap to mmap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00" w:type="dxa"/>
            <w:vMerge/>
            <w:tcBorders>
              <w:top w:val="nil"/>
              <w:left w:val="nil"/>
              <w:bottom w:val="single" w:sz="2" w:space="0" w:color="B2A1C7" w:themeColor="accent4" w:themeTint="99"/>
              <w:right w:val="nil"/>
            </w:tcBorders>
            <w:vAlign w:val="center"/>
            <w:hideMark/>
          </w:tcPr>
          <w:p w:rsidR="000D69E5" w:rsidRDefault="000D69E5">
            <w:pPr>
              <w:rPr>
                <w:rFonts w:ascii="Average" w:eastAsia="微軟正黑體" w:hAnsi="Average" w:cs="Average" w:hint="eastAsia"/>
                <w:bCs/>
              </w:rPr>
            </w:pP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file1_in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file2_in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file3_in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file4_in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file1_in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file2_in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file3_in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file4_in</w:t>
            </w:r>
          </w:p>
        </w:tc>
      </w:tr>
      <w:tr w:rsidR="000D69E5" w:rsidTr="000D69E5">
        <w:trPr>
          <w:trHeight w:val="300"/>
        </w:trPr>
        <w:tc>
          <w:tcPr>
            <w:tcW w:w="900" w:type="dxa"/>
            <w:vMerge/>
            <w:tcBorders>
              <w:top w:val="nil"/>
              <w:left w:val="nil"/>
              <w:bottom w:val="single" w:sz="2" w:space="0" w:color="B2A1C7" w:themeColor="accent4" w:themeTint="99"/>
              <w:right w:val="nil"/>
            </w:tcBorders>
            <w:vAlign w:val="center"/>
            <w:hideMark/>
          </w:tcPr>
          <w:p w:rsidR="000D69E5" w:rsidRDefault="000D69E5">
            <w:pPr>
              <w:rPr>
                <w:rFonts w:ascii="Average" w:eastAsia="微軟正黑體" w:hAnsi="Average" w:cs="Average" w:hint="eastAsia"/>
                <w:bCs/>
              </w:rPr>
            </w:pP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4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577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9695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1502860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4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577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9695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1502860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900" w:type="dxa"/>
            <w:tcBorders>
              <w:top w:val="single" w:sz="2" w:space="0" w:color="B2A1C7" w:themeColor="accent4" w:themeTint="99"/>
              <w:left w:val="nil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valid data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92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87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98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78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95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94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93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86</w:t>
            </w:r>
          </w:p>
        </w:tc>
      </w:tr>
      <w:tr w:rsidR="000D69E5" w:rsidTr="000D69E5">
        <w:trPr>
          <w:trHeight w:val="300"/>
        </w:trPr>
        <w:tc>
          <w:tcPr>
            <w:tcW w:w="900" w:type="dxa"/>
            <w:tcBorders>
              <w:top w:val="single" w:sz="2" w:space="0" w:color="B2A1C7" w:themeColor="accent4" w:themeTint="99"/>
              <w:left w:val="nil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average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0.04241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0.05706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0.25220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11.1045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0.04448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0.06059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0.20826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8.29422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00" w:type="dxa"/>
            <w:tcBorders>
              <w:top w:val="single" w:sz="2" w:space="0" w:color="B2A1C7" w:themeColor="accent4" w:themeTint="99"/>
              <w:left w:val="nil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std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0.00379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0.00314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0.04190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1.82907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0.00495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0.00542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single" w:sz="2" w:space="0" w:color="B2A1C7" w:themeColor="accent4" w:themeTint="99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0.03614</w:t>
            </w:r>
          </w:p>
        </w:tc>
        <w:tc>
          <w:tcPr>
            <w:tcW w:w="1003" w:type="dxa"/>
            <w:tcBorders>
              <w:top w:val="single" w:sz="2" w:space="0" w:color="B2A1C7" w:themeColor="accent4" w:themeTint="99"/>
              <w:left w:val="single" w:sz="2" w:space="0" w:color="B2A1C7" w:themeColor="accent4" w:themeTint="99"/>
              <w:bottom w:val="single" w:sz="2" w:space="0" w:color="B2A1C7" w:themeColor="accent4" w:themeTint="99"/>
              <w:right w:val="nil"/>
            </w:tcBorders>
            <w:hideMark/>
          </w:tcPr>
          <w:p w:rsidR="000D69E5" w:rsidRDefault="000D69E5">
            <w:pPr>
              <w:widowControl w:val="0"/>
              <w:jc w:val="center"/>
              <w:rPr>
                <w:rFonts w:ascii="Average" w:eastAsia="微軟正黑體" w:hAnsi="Average" w:cs="Average" w:hint="eastAsia"/>
              </w:rPr>
            </w:pPr>
            <w:r>
              <w:rPr>
                <w:rFonts w:ascii="Average" w:eastAsia="微軟正黑體" w:hAnsi="Average" w:cs="Average"/>
              </w:rPr>
              <w:t>0.69182</w:t>
            </w:r>
          </w:p>
        </w:tc>
      </w:tr>
    </w:tbl>
    <w:p w:rsidR="000D69E5" w:rsidRDefault="000D69E5" w:rsidP="000D69E5">
      <w:pPr>
        <w:rPr>
          <w:rFonts w:eastAsia="微軟正黑體"/>
        </w:rPr>
      </w:pPr>
    </w:p>
    <w:p w:rsidR="000D69E5" w:rsidRDefault="000D69E5" w:rsidP="000D69E5">
      <w:pPr>
        <w:rPr>
          <w:rFonts w:eastAsia="微軟正黑體"/>
          <w:sz w:val="24"/>
          <w:szCs w:val="24"/>
        </w:rPr>
      </w:pPr>
      <w:r>
        <w:rPr>
          <w:rFonts w:ascii="Arial Unicode MS" w:eastAsia="微軟正黑體" w:hAnsi="Arial Unicode MS" w:cs="Arial Unicode MS" w:hint="eastAsia"/>
          <w:sz w:val="24"/>
          <w:szCs w:val="24"/>
        </w:rPr>
        <w:t>接著將</w:t>
      </w:r>
      <w:r>
        <w:rPr>
          <w:rFonts w:ascii="Arial Unicode MS" w:eastAsia="微軟正黑體" w:hAnsi="Arial Unicode MS" w:cs="Arial Unicode MS"/>
          <w:sz w:val="24"/>
          <w:szCs w:val="24"/>
        </w:rPr>
        <w:t>4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組測試資料分別以</w:t>
      </w:r>
      <w:r>
        <w:rPr>
          <w:rFonts w:ascii="Arial Unicode MS" w:eastAsia="微軟正黑體" w:hAnsi="Arial Unicode MS" w:cs="Arial Unicode MS"/>
          <w:sz w:val="24"/>
          <w:szCs w:val="24"/>
        </w:rPr>
        <w:t>Master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、</w:t>
      </w:r>
      <w:r>
        <w:rPr>
          <w:rFonts w:ascii="Arial Unicode MS" w:eastAsia="微軟正黑體" w:hAnsi="Arial Unicode MS" w:cs="Arial Unicode MS"/>
          <w:sz w:val="24"/>
          <w:szCs w:val="24"/>
        </w:rPr>
        <w:t>Slave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採用</w:t>
      </w:r>
      <w:r>
        <w:rPr>
          <w:rFonts w:ascii="Arial Unicode MS" w:eastAsia="微軟正黑體" w:hAnsi="Arial Unicode MS" w:cs="Arial Unicode MS"/>
          <w:sz w:val="24"/>
          <w:szCs w:val="24"/>
        </w:rPr>
        <w:t>fcntl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與</w:t>
      </w:r>
      <w:r>
        <w:rPr>
          <w:rFonts w:ascii="Arial Unicode MS" w:eastAsia="微軟正黑體" w:hAnsi="Arial Unicode MS" w:cs="Arial Unicode MS"/>
          <w:sz w:val="24"/>
          <w:szCs w:val="24"/>
        </w:rPr>
        <w:t>mmap</w:t>
      </w:r>
      <w:r>
        <w:rPr>
          <w:rFonts w:ascii="Arial Unicode MS" w:eastAsia="微軟正黑體" w:hAnsi="Arial Unicode MS" w:cs="Arial Unicode MS" w:hint="eastAsia"/>
          <w:sz w:val="24"/>
          <w:szCs w:val="24"/>
        </w:rPr>
        <w:t>不同搭配進行多次測試，進行統計與繪製盒狀圖如下：</w:t>
      </w:r>
    </w:p>
    <w:p w:rsidR="000D69E5" w:rsidRDefault="000D69E5" w:rsidP="000D69E5">
      <w:pPr>
        <w:rPr>
          <w:rFonts w:eastAsia="微軟正黑體"/>
        </w:rPr>
      </w:pPr>
    </w:p>
    <w:tbl>
      <w:tblPr>
        <w:tblStyle w:val="7-2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88"/>
        <w:gridCol w:w="1892"/>
        <w:gridCol w:w="1893"/>
        <w:gridCol w:w="1893"/>
        <w:gridCol w:w="1894"/>
      </w:tblGrid>
      <w:tr w:rsidR="000D69E5" w:rsidTr="000D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0" w:type="dxa"/>
            <w:noWrap/>
            <w:hideMark/>
          </w:tcPr>
          <w:p w:rsidR="000D69E5" w:rsidRDefault="000D69E5">
            <w:pPr>
              <w:rPr>
                <w:rFonts w:eastAsia="微軟正黑體"/>
              </w:rPr>
            </w:pPr>
          </w:p>
        </w:tc>
        <w:tc>
          <w:tcPr>
            <w:tcW w:w="1894" w:type="dxa"/>
            <w:tcBorders>
              <w:bottom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fcntl to fcntl</w:t>
            </w:r>
          </w:p>
        </w:tc>
        <w:tc>
          <w:tcPr>
            <w:tcW w:w="1894" w:type="dxa"/>
            <w:tcBorders>
              <w:bottom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mmap to fcntl</w:t>
            </w:r>
          </w:p>
        </w:tc>
        <w:tc>
          <w:tcPr>
            <w:tcW w:w="1894" w:type="dxa"/>
            <w:tcBorders>
              <w:bottom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fcntl to mmap</w:t>
            </w:r>
          </w:p>
        </w:tc>
        <w:tc>
          <w:tcPr>
            <w:tcW w:w="1895" w:type="dxa"/>
            <w:tcBorders>
              <w:bottom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mmap to mmap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0.75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0.0315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0.0327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0.0315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0.0339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outlier-high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0.04765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0.0513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0.0472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0.0523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median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0.02995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0.0309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0.0289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0.0313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outlier-low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0.0244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0.0237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0.0242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0.25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0.0256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0.026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0.0254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0.0269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0.75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0.0417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0.0472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0.0404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0.0434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outlier-high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0.0675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0.0727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0.0596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0.0701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median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0.0396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0.0415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0.0362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0.0413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outlier-low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0.0295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0.0298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0.0301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0.0293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0.25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0.0324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0.0368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0.0326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0.0338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0.75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0.1908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0.1867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0.1738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0.1628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outlier-high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0.44255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0.426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0.36635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0.3421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median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0.14585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0.126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0.13775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0.097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outlier-low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0.0689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0.0674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0.0699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0.0643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0.25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0.0919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0.092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0.103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0.0811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0.75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6.961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6.5885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6.3632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6.0159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outlier-high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11.9031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9.5353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9.97765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9.2081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median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6.2928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5.9869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5.39785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5.4899</w:t>
            </w:r>
          </w:p>
        </w:tc>
      </w:tr>
      <w:tr w:rsidR="000D69E5" w:rsidTr="000D69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outlier-low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4.6115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4.1038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4.5977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color w:val="auto"/>
              </w:rPr>
            </w:pPr>
            <w:r>
              <w:rPr>
                <w:rFonts w:ascii="Times New Roman" w:eastAsia="微軟正黑體" w:hAnsi="Times New Roman" w:cs="Times New Roman"/>
                <w:color w:val="auto"/>
              </w:rPr>
              <w:t>4.2846</w:t>
            </w:r>
          </w:p>
        </w:tc>
      </w:tr>
      <w:tr w:rsidR="000D69E5" w:rsidTr="000D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0.25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5.0909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5.4263</w:t>
            </w:r>
          </w:p>
        </w:tc>
        <w:tc>
          <w:tcPr>
            <w:tcW w:w="18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4.871</w:t>
            </w:r>
          </w:p>
        </w:tc>
        <w:tc>
          <w:tcPr>
            <w:tcW w:w="189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noWrap/>
            <w:hideMark/>
          </w:tcPr>
          <w:p w:rsidR="000D69E5" w:rsidRDefault="000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4.7765</w:t>
            </w:r>
          </w:p>
        </w:tc>
      </w:tr>
    </w:tbl>
    <w:p w:rsidR="000D69E5" w:rsidRDefault="000D69E5" w:rsidP="000D69E5">
      <w:pPr>
        <w:jc w:val="center"/>
        <w:rPr>
          <w:rFonts w:eastAsia="微軟正黑體"/>
        </w:rPr>
      </w:pPr>
    </w:p>
    <w:p w:rsidR="000D69E5" w:rsidRDefault="000D69E5" w:rsidP="000D69E5">
      <w:pPr>
        <w:jc w:val="center"/>
        <w:rPr>
          <w:rFonts w:eastAsia="微軟正黑體"/>
        </w:rPr>
      </w:pPr>
    </w:p>
    <w:p w:rsidR="000D69E5" w:rsidRDefault="000D69E5" w:rsidP="000D69E5">
      <w:pPr>
        <w:jc w:val="center"/>
        <w:rPr>
          <w:rFonts w:eastAsia="微軟正黑體"/>
        </w:rPr>
      </w:pPr>
      <w:r>
        <w:rPr>
          <w:noProof/>
        </w:rPr>
        <w:lastRenderedPageBreak/>
        <w:drawing>
          <wp:inline distT="0" distB="0" distL="0" distR="0">
            <wp:extent cx="4714875" cy="2724150"/>
            <wp:effectExtent l="0" t="0" r="9525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80E8A29-AF4E-470E-8225-9417337B2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4875" cy="2724150"/>
            <wp:effectExtent l="0" t="0" r="9525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6167EAD6-BE9E-4BC5-B9DE-060A05F1A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14875" cy="2724150"/>
            <wp:effectExtent l="0" t="0" r="9525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B9573012-734E-486E-84A4-3050E3FDF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4875" cy="2724150"/>
            <wp:effectExtent l="0" t="0" r="9525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7C3C0455-3E58-494A-929A-44C4C6A3F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3AC0" w:rsidRDefault="00743AC0" w:rsidP="00743AC0">
      <w:pPr>
        <w:rPr>
          <w:rFonts w:eastAsia="微軟正黑體"/>
        </w:rPr>
      </w:pPr>
    </w:p>
    <w:p w:rsidR="00743AC0" w:rsidRDefault="00743AC0" w:rsidP="00743AC0">
      <w:pPr>
        <w:pStyle w:val="2"/>
      </w:pPr>
      <w:r w:rsidRPr="00743AC0">
        <w:t>page descriptors</w:t>
      </w:r>
      <w:r>
        <w:t xml:space="preserve"> –</w:t>
      </w:r>
      <w:r w:rsidR="00C052B2">
        <w:t xml:space="preserve"> </w:t>
      </w:r>
      <w:r>
        <w:t>fcntl</w:t>
      </w:r>
      <w:r w:rsidR="00C052B2">
        <w:t>(master)</w:t>
      </w:r>
      <w:r>
        <w:t xml:space="preserve"> / mmap</w:t>
      </w:r>
      <w:bookmarkStart w:id="6" w:name="_Hlk11159561"/>
      <w:r w:rsidR="00C052B2">
        <w:t>(slave)</w:t>
      </w:r>
      <w:bookmarkEnd w:id="6"/>
    </w:p>
    <w:p w:rsidR="00836E8C" w:rsidRPr="00836E8C" w:rsidRDefault="00F6152C" w:rsidP="00836E8C">
      <w:pPr>
        <w:rPr>
          <w:rFonts w:hint="eastAsia"/>
        </w:rPr>
      </w:pPr>
      <w:r>
        <w:rPr>
          <w:noProof/>
        </w:rPr>
        <w:drawing>
          <wp:inline distT="0" distB="0" distL="0" distR="0" wp14:anchorId="2F87B567" wp14:editId="567EE3D5">
            <wp:extent cx="3009900" cy="3524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C0" w:rsidRDefault="00743AC0" w:rsidP="00743AC0">
      <w:pPr>
        <w:pStyle w:val="2"/>
      </w:pPr>
      <w:r w:rsidRPr="00743AC0">
        <w:t>page descriptors</w:t>
      </w:r>
      <w:r>
        <w:t xml:space="preserve"> – </w:t>
      </w:r>
      <w:r>
        <w:t>mmap</w:t>
      </w:r>
      <w:r w:rsidR="00AB05DF">
        <w:t>(master)</w:t>
      </w:r>
      <w:r>
        <w:t xml:space="preserve"> / </w:t>
      </w:r>
      <w:r>
        <w:t>fcntl</w:t>
      </w:r>
      <w:r w:rsidR="00AB05DF">
        <w:t>(slave)</w:t>
      </w:r>
    </w:p>
    <w:p w:rsidR="00553E8B" w:rsidRPr="00553E8B" w:rsidRDefault="00553E8B" w:rsidP="00553E8B">
      <w:pPr>
        <w:rPr>
          <w:rFonts w:hint="eastAsia"/>
        </w:rPr>
      </w:pPr>
      <w:r>
        <w:rPr>
          <w:noProof/>
        </w:rPr>
        <w:drawing>
          <wp:inline distT="0" distB="0" distL="0" distR="0" wp14:anchorId="10CAA545" wp14:editId="6D78BB96">
            <wp:extent cx="3086100" cy="1809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C0" w:rsidRDefault="00743AC0" w:rsidP="00743AC0">
      <w:pPr>
        <w:pStyle w:val="2"/>
      </w:pPr>
      <w:r w:rsidRPr="00743AC0">
        <w:t>page descriptors</w:t>
      </w:r>
      <w:r>
        <w:t xml:space="preserve"> – </w:t>
      </w:r>
      <w:r>
        <w:t>mmap</w:t>
      </w:r>
      <w:r w:rsidR="00AB05DF">
        <w:t>(master)</w:t>
      </w:r>
      <w:r>
        <w:t xml:space="preserve"> / mmap</w:t>
      </w:r>
      <w:r w:rsidR="00AB05DF">
        <w:t>(slave)</w:t>
      </w:r>
      <w:r>
        <w:t xml:space="preserve"> </w:t>
      </w:r>
    </w:p>
    <w:p w:rsidR="000D69E5" w:rsidRPr="00983DBD" w:rsidRDefault="00F6152C">
      <w:pPr>
        <w:rPr>
          <w:rFonts w:eastAsia="微軟正黑體"/>
        </w:rPr>
      </w:pPr>
      <w:r>
        <w:rPr>
          <w:noProof/>
        </w:rPr>
        <w:drawing>
          <wp:inline distT="0" distB="0" distL="0" distR="0" wp14:anchorId="2549772D" wp14:editId="25DE6F07">
            <wp:extent cx="3505200" cy="800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0243B" w:rsidRDefault="008C70F5">
      <w:pPr>
        <w:pStyle w:val="1"/>
      </w:pPr>
      <w:r>
        <w:lastRenderedPageBreak/>
        <w:t>The comparison the performance between file I/O and memory-mapped I/O</w:t>
      </w:r>
    </w:p>
    <w:p w:rsidR="0010243B" w:rsidRDefault="008C70F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在非常小的測試資料下(如file1_in與file2_in)，mmap與fcntl所花的時間並沒有顯著的差別，甚至mmap會稍微慢一些，這可能是因為mmap也有可觀的overhead，因為需要進行page table的建立與TLB flush等等，加上如果遇到TLB miss甚至page fault又會造成更多memory access時間的浪費</w:t>
      </w:r>
      <w:r>
        <w:rPr>
          <w:sz w:val="24"/>
          <w:szCs w:val="24"/>
          <w:vertAlign w:val="superscript"/>
        </w:rPr>
        <w:t>1, 2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0243B" w:rsidRDefault="0010243B">
      <w:pPr>
        <w:rPr>
          <w:sz w:val="24"/>
          <w:szCs w:val="24"/>
        </w:rPr>
      </w:pPr>
    </w:p>
    <w:p w:rsidR="0010243B" w:rsidRDefault="008C70F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實際上mmap是demand paging的"lazy" I/O，作業系統將部份的檔案建立page table放在記憶體中，如果發現要用的檔案不在記憶體中則需要從disk中讀取、進行replace。但是在較大的資料上(file3_in與file4_in)，mmap就顯著地比fcntl來得快。這有可能是因為mmap在讀寫時只做了memory上的複製，再由作業系統決定disk flush的時機，而減少了實際上disk I/O的次數與對應的等待時間(根據課本上面的說法，hard disk latency約為3ms、而seek要花5ms再加上transfer time 0.05ms)。如此Master與Slave的傳輸皆能變得更有效率。</w:t>
      </w:r>
    </w:p>
    <w:p w:rsidR="0010243B" w:rsidRDefault="0010243B">
      <w:pPr>
        <w:rPr>
          <w:sz w:val="24"/>
          <w:szCs w:val="24"/>
        </w:rPr>
      </w:pPr>
    </w:p>
    <w:p w:rsidR="0010243B" w:rsidRDefault="008C70F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參見Linus Torvalds對於mmap效能的看法：</w:t>
      </w:r>
    </w:p>
    <w:p w:rsidR="0010243B" w:rsidRDefault="00983DBD">
      <w:pPr>
        <w:numPr>
          <w:ilvl w:val="0"/>
          <w:numId w:val="1"/>
        </w:numPr>
        <w:rPr>
          <w:sz w:val="24"/>
          <w:szCs w:val="24"/>
        </w:rPr>
      </w:pPr>
      <w:hyperlink r:id="rId12">
        <w:r w:rsidR="008C70F5">
          <w:rPr>
            <w:color w:val="1155CC"/>
            <w:sz w:val="24"/>
            <w:szCs w:val="24"/>
            <w:u w:val="single"/>
          </w:rPr>
          <w:t>https://marc.info/?l=linux-kernel&amp;m=95496636207616</w:t>
        </w:r>
      </w:hyperlink>
    </w:p>
    <w:p w:rsidR="0010243B" w:rsidRDefault="00983DBD">
      <w:pPr>
        <w:numPr>
          <w:ilvl w:val="0"/>
          <w:numId w:val="1"/>
        </w:numPr>
        <w:rPr>
          <w:sz w:val="24"/>
          <w:szCs w:val="24"/>
        </w:rPr>
      </w:pPr>
      <w:hyperlink r:id="rId13">
        <w:r w:rsidR="008C70F5">
          <w:rPr>
            <w:color w:val="1155CC"/>
            <w:sz w:val="24"/>
            <w:szCs w:val="24"/>
            <w:u w:val="single"/>
          </w:rPr>
          <w:t>http://lkml.iu.edu/hypermail/linux/kernel/0802.0/1496.html</w:t>
        </w:r>
      </w:hyperlink>
    </w:p>
    <w:p w:rsidR="00743AC0" w:rsidRDefault="00743AC0">
      <w:pPr>
        <w:rPr>
          <w:sz w:val="40"/>
          <w:szCs w:val="40"/>
        </w:rPr>
      </w:pPr>
      <w:bookmarkStart w:id="8" w:name="_n30edzydi57b" w:colFirst="0" w:colLast="0"/>
      <w:bookmarkEnd w:id="8"/>
      <w:r>
        <w:br w:type="page"/>
      </w:r>
    </w:p>
    <w:p w:rsidR="0010243B" w:rsidRDefault="008C70F5">
      <w:pPr>
        <w:pStyle w:val="1"/>
      </w:pPr>
      <w:r>
        <w:lastRenderedPageBreak/>
        <w:t>Bonus</w:t>
      </w:r>
    </w:p>
    <w:p w:rsidR="0010243B" w:rsidRDefault="0010243B"/>
    <w:p w:rsidR="0010243B" w:rsidRDefault="008C70F5">
      <w:r>
        <w:rPr>
          <w:rFonts w:ascii="Arial Unicode MS" w:eastAsia="Arial Unicode MS" w:hAnsi="Arial Unicode MS" w:cs="Arial Unicode MS"/>
        </w:rPr>
        <w:t>Bonus的部分，我們主要把sync的kernel socket改成async的版本。 kernel socket的傳輸主要會使用到socket這個structure，其定義如下（定義在linux/net.h中）</w:t>
      </w:r>
    </w:p>
    <w:p w:rsidR="0010243B" w:rsidRDefault="0010243B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socket資料結構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socket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socket_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state  state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short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type;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unsigned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flags;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socket_wq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__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rcu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wq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file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file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sock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sk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const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proto_ops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</w:t>
            </w:r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ops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:rsidR="0010243B" w:rsidRDefault="0010243B"/>
    <w:p w:rsidR="0010243B" w:rsidRDefault="008C70F5">
      <w:r>
        <w:rPr>
          <w:rFonts w:ascii="Arial Unicode MS" w:eastAsia="Arial Unicode MS" w:hAnsi="Arial Unicode MS" w:cs="Arial Unicode MS"/>
        </w:rPr>
        <w:t>其中flags的部分可以選擇要sync的socket或async的，其對應的flags分別為（定義在linux/fcntl.h中）：</w:t>
      </w:r>
      <w:r>
        <w:rPr>
          <w:rFonts w:ascii="Courier New" w:eastAsia="Courier New" w:hAnsi="Courier New" w:cs="Courier New"/>
        </w:rPr>
        <w:t>__O_SYNC</w:t>
      </w:r>
      <w:r>
        <w:rPr>
          <w:rFonts w:ascii="Arial Unicode MS" w:eastAsia="Arial Unicode MS" w:hAnsi="Arial Unicode MS" w:cs="Arial Unicode MS"/>
        </w:rPr>
        <w:t xml:space="preserve"> 和 </w:t>
      </w:r>
      <w:r>
        <w:rPr>
          <w:rFonts w:ascii="Courier New" w:eastAsia="Courier New" w:hAnsi="Courier New" w:cs="Courier New"/>
        </w:rPr>
        <w:t>FASYNC</w:t>
      </w:r>
      <w:r>
        <w:rPr>
          <w:rFonts w:ascii="Arial Unicode MS" w:eastAsia="Arial Unicode MS" w:hAnsi="Arial Unicode MS" w:cs="Arial Unicode MS"/>
        </w:rPr>
        <w:t>。 我們將ksocket.c中，每個socket struct初始化以後的flags加上</w:t>
      </w:r>
      <w:r>
        <w:rPr>
          <w:rFonts w:ascii="Courier New" w:eastAsia="Courier New" w:hAnsi="Courier New" w:cs="Courier New"/>
        </w:rPr>
        <w:t>FASYNC</w:t>
      </w:r>
      <w:r>
        <w:t xml:space="preserve"> (</w:t>
      </w:r>
      <w:r>
        <w:rPr>
          <w:rFonts w:ascii="Courier New" w:eastAsia="Courier New" w:hAnsi="Courier New" w:cs="Courier New"/>
        </w:rPr>
        <w:t>sk-&gt;flags |= FASYNC;</w:t>
      </w:r>
      <w:r>
        <w:rPr>
          <w:rFonts w:ascii="Arial Unicode MS" w:eastAsia="Arial Unicode MS" w:hAnsi="Arial Unicode MS" w:cs="Arial Unicode MS"/>
        </w:rPr>
        <w:t>)即實現了async的socket。</w:t>
      </w:r>
    </w:p>
    <w:p w:rsidR="0010243B" w:rsidRDefault="008C70F5">
      <w:pPr>
        <w:pStyle w:val="2"/>
      </w:pPr>
      <w:bookmarkStart w:id="9" w:name="_41uhj7l1bi86" w:colFirst="0" w:colLast="0"/>
      <w:bookmarkEnd w:id="9"/>
      <w:r>
        <w:rPr>
          <w:rFonts w:ascii="Arial Unicode MS" w:eastAsia="Arial Unicode MS" w:hAnsi="Arial Unicode MS" w:cs="Arial Unicode MS"/>
        </w:rPr>
        <w:t>sync和async的結果預測</w:t>
      </w:r>
    </w:p>
    <w:p w:rsidR="0010243B" w:rsidRDefault="0010243B"/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我們在執行前先猜測async的transmission time會比sync的要少，因為sync的要在buffer是滿的時候才會一次性清空，而async socket則沒有這個要求，因此在執行上async應該會比sync略快一些。當然，當buffer空間不夠大的時候，這結果是不太明顯的。</w:t>
      </w:r>
    </w:p>
    <w:p w:rsidR="0010243B" w:rsidRDefault="008C70F5">
      <w:pPr>
        <w:pStyle w:val="2"/>
      </w:pPr>
      <w:bookmarkStart w:id="10" w:name="_fg9kz2adaunj" w:colFirst="0" w:colLast="0"/>
      <w:bookmarkEnd w:id="10"/>
      <w:r>
        <w:rPr>
          <w:rFonts w:ascii="Arial Unicode MS" w:eastAsia="Arial Unicode MS" w:hAnsi="Arial Unicode MS" w:cs="Arial Unicode MS"/>
        </w:rPr>
        <w:t>sync和async的實際結果</w:t>
      </w: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 xml:space="preserve">因為助教提供的測試資料皆比較小，transmission time通常不到100ms，為了讓結果（transmission time的差異）更加明顯，我們採用了自己生成的較大測試資料來測試。 </w:t>
      </w: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生成測試資料的程式如下：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0243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4"/>
                <w:szCs w:val="24"/>
                <w:highlight w:val="white"/>
              </w:rPr>
              <w:t>生成測試資料</w:t>
            </w:r>
          </w:p>
        </w:tc>
      </w:tr>
      <w:tr w:rsidR="0010243B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highlight w:val="white"/>
              </w:rPr>
            </w:pP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&lt;stdio.h&gt;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i &lt;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10000000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 i++)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puts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"meow!"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puts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"Cats are so cute!"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</w:p>
        </w:tc>
      </w:tr>
    </w:tbl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其內容共2×10</w:t>
      </w:r>
      <w:r>
        <w:rPr>
          <w:color w:val="333333"/>
          <w:sz w:val="24"/>
          <w:szCs w:val="24"/>
          <w:highlight w:val="white"/>
          <w:vertAlign w:val="superscript"/>
        </w:rPr>
        <w:t>7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行，奇數行皆為字串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meow!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，而偶數行皆為字串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Cats are so cute!</w:t>
      </w:r>
    </w:p>
    <w:p w:rsidR="000D69E5" w:rsidRDefault="000D69E5">
      <w:pPr>
        <w:rPr>
          <w:rFonts w:ascii="Arial Unicode MS" w:eastAsia="Arial Unicode MS" w:hAnsi="Arial Unicode MS" w:cs="Arial Unicode MS"/>
          <w:sz w:val="32"/>
          <w:szCs w:val="32"/>
        </w:rPr>
      </w:pPr>
      <w:bookmarkStart w:id="11" w:name="_3ya45hu3857e" w:colFirst="0" w:colLast="0"/>
      <w:bookmarkEnd w:id="11"/>
      <w:r>
        <w:rPr>
          <w:rFonts w:ascii="Arial Unicode MS" w:eastAsia="Arial Unicode MS" w:hAnsi="Arial Unicode MS" w:cs="Arial Unicode MS"/>
        </w:rPr>
        <w:br w:type="page"/>
      </w:r>
    </w:p>
    <w:p w:rsidR="0010243B" w:rsidRDefault="008C70F5">
      <w:pPr>
        <w:pStyle w:val="2"/>
      </w:pPr>
      <w:r>
        <w:rPr>
          <w:rFonts w:ascii="Arial Unicode MS" w:eastAsia="Arial Unicode MS" w:hAnsi="Arial Unicode MS" w:cs="Arial Unicode MS"/>
        </w:rPr>
        <w:lastRenderedPageBreak/>
        <w:t>實際結果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840"/>
        <w:gridCol w:w="3840"/>
      </w:tblGrid>
      <w:tr w:rsidR="0010243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10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Master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Slave</w:t>
            </w:r>
          </w:p>
        </w:tc>
      </w:tr>
      <w:tr w:rsidR="0010243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10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fcntl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fcntl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24996.954500 ms, File size: 275000000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async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20998.631500 ms, File size: 275000000</w:t>
            </w:r>
          </w:p>
        </w:tc>
      </w:tr>
      <w:tr w:rsidR="0010243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10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fcntl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mmap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17920.159400 ms, File size: 275000000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async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15864.345400 ms, File size: 275000000</w:t>
            </w:r>
          </w:p>
        </w:tc>
      </w:tr>
      <w:tr w:rsidR="0010243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10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mmap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fcntl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18983.638200 ms, File size: 275000000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async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19938.115800 ms, File size: 275000000</w:t>
            </w:r>
          </w:p>
        </w:tc>
      </w:tr>
      <w:tr w:rsidR="0010243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10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mmap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mmap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Transmission time: </w:t>
            </w:r>
            <w:r>
              <w:rPr>
                <w:b/>
                <w:color w:val="333333"/>
                <w:sz w:val="24"/>
                <w:szCs w:val="24"/>
                <w:highlight w:val="white"/>
              </w:rPr>
              <w:t>15049.358400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ms, File size: 275000000</w:t>
            </w:r>
          </w:p>
        </w:tc>
      </w:tr>
      <w:tr w:rsidR="0010243B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  <w:jc w:val="center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color w:val="333333"/>
                <w:sz w:val="24"/>
                <w:szCs w:val="24"/>
                <w:highlight w:val="white"/>
              </w:rPr>
              <w:t>async</w:t>
            </w: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Transmission time: 15939.756300 ms, File size: 275000000</w:t>
            </w:r>
          </w:p>
        </w:tc>
      </w:tr>
    </w:tbl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 xml:space="preserve">在master端是fcntl時，async的transmission time普遍會比sync的要短；而當master端是mmap時，async的transmission time會比sync的要得長一些。 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 xml:space="preserve">後者跟我們預期的結果不太一樣，我們認為有可能跟buffer的大小有關。當buffer大小不夠大時，基本上每次操作都會把buffer填滿，因此兩者的行為是差不多的，transmission time差異不會太大。 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此外，async清空buffer的次數可能會比sync的略多，我們原本的猜測並未考慮清空buffer所造成的時間成本。</w:t>
      </w:r>
    </w:p>
    <w:p w:rsidR="000D69E5" w:rsidRDefault="000D69E5">
      <w:pPr>
        <w:rPr>
          <w:sz w:val="40"/>
          <w:szCs w:val="40"/>
        </w:rPr>
      </w:pPr>
      <w:bookmarkStart w:id="12" w:name="_5hmrdckdzrxs" w:colFirst="0" w:colLast="0"/>
      <w:bookmarkEnd w:id="12"/>
      <w:r>
        <w:br w:type="page"/>
      </w:r>
    </w:p>
    <w:p w:rsidR="0010243B" w:rsidRDefault="008C70F5">
      <w:pPr>
        <w:pStyle w:val="1"/>
      </w:pPr>
      <w:r>
        <w:lastRenderedPageBreak/>
        <w:t>Discussion and Conclusion</w:t>
      </w: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當我們使用自行生成的測試資料加上sync與async的比較後得到的結果是當Master與Slave皆使用mmap時，sync的傳輸方式是最快的。而Master使用fcntl、Slave使用mmap與Master、Slave皆使用mmap時，使用async傳輸的速度相近，且是第二快的組合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首先我們先看sync的socket所花的傳輸時間。若Slave皆是fcntl，比較Master使用fcntl與mmap的差異，可以發現Master使用mmap可以省下約為24%的時間((24997-18984)/24997)。當Slave皆是mmap時，Master使用mmap則能省下約為16%的時間((17920-15049)/17920)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另一方面，如果固定Master使用fcntl，Slave使用mmap則會比使用fcntl快了約為28%的時間((24997-17920)/24997)！同樣固定Master使用mmap的話，Slave使用mmap也會比fcntl減少約為21%的時間((18984-15049)/18984)。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綜合起來若Master與Slave都使用mmap的話，可以省下約40%的時間((24997-15049)/24997)。前者推測可能是因為mmap是demand paging，只會將當前有需要的檔案載入到記憶體中，加上實際進行disk I/O的次數可能較少，不如fcntl當buffer滿了就會進行。Slave主要的工作是寫入檔案，這裡memcpy之後再由作業系統flush進disk會比一直進行write快得多！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如果看async的socket的話，在Master使用fcntl時有顯著提昇傳輸效率，但在Master使用mmap之後就稍微比sync慢，這可能是async有多出一些overhead，例如上述buffer大小的問題，而async的效果在資料是write輸出時比較明顯，只要讀資料進來，就可以non-blocking地傳送。當資料是mmap輸出時，反而因為async加上mmap的overhead造成時間變長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10243B" w:rsidRDefault="008C70F5">
      <w:pPr>
        <w:rPr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雖然單一檔案傳輸並不是mmap最適合使用時機，而應該是有部份程式、檔案經常性地被使用、更動而需要存在記憶體中，或是多個程式同時需要分享一個檔案時，但mmap在這次實驗中仍然在大檔案傳輸勝過fcntl，也就是一般檔案的read、write。實際上mmap的運作複雜，處理不同檔案與指令可能會遇到非常不一樣的效果，因此要更準確預測執行結果需要多加以實驗與評估。</w:t>
      </w:r>
    </w:p>
    <w:p w:rsidR="0010243B" w:rsidRDefault="0010243B">
      <w:pPr>
        <w:rPr>
          <w:color w:val="333333"/>
          <w:sz w:val="24"/>
          <w:szCs w:val="24"/>
          <w:highlight w:val="white"/>
        </w:rPr>
      </w:pPr>
    </w:p>
    <w:p w:rsidR="000D69E5" w:rsidRDefault="000D69E5">
      <w:pPr>
        <w:rPr>
          <w:sz w:val="40"/>
          <w:szCs w:val="40"/>
        </w:rPr>
      </w:pPr>
      <w:bookmarkStart w:id="13" w:name="_ssv22hidurwq" w:colFirst="0" w:colLast="0"/>
      <w:bookmarkEnd w:id="13"/>
      <w:r>
        <w:br w:type="page"/>
      </w:r>
    </w:p>
    <w:p w:rsidR="0010243B" w:rsidRDefault="008C70F5">
      <w:pPr>
        <w:pStyle w:val="1"/>
      </w:pPr>
      <w:r>
        <w:lastRenderedPageBreak/>
        <w:t>Contributions of Team Members</w:t>
      </w:r>
    </w:p>
    <w:p w:rsidR="0010243B" w:rsidRDefault="0010243B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資工二 b06902093 王彥仁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hAnsi="Arial Unicode MS" w:cs="Arial Unicode MS"/>
              </w:rPr>
              <w:t>evice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與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Bonus的程式實作與實驗</w:t>
            </w:r>
          </w:p>
        </w:tc>
      </w:tr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資工二 b06902026 吳秉柔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Slave 及 Master的程式實作</w:t>
            </w:r>
          </w:p>
        </w:tc>
      </w:tr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資工二 b06902041 吳采耘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整理Slave 及 Master的設計與實作方式</w:t>
            </w:r>
          </w:p>
        </w:tc>
      </w:tr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資工二 b06902054 蔡宥杏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Slave 及 Master的程式實作</w:t>
            </w:r>
          </w:p>
        </w:tc>
      </w:tr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醫學三 b05401009 謝德威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報告整理、分析與結論撰寫</w:t>
            </w:r>
          </w:p>
        </w:tc>
      </w:tr>
      <w:tr w:rsidR="001024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電機五 b03901056 孫凡耕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3B" w:rsidRDefault="008C70F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Bonus的程式實作與實驗</w:t>
            </w:r>
          </w:p>
        </w:tc>
      </w:tr>
    </w:tbl>
    <w:p w:rsidR="0010243B" w:rsidRDefault="0010243B"/>
    <w:p w:rsidR="0010243B" w:rsidRDefault="0010243B">
      <w:pPr>
        <w:rPr>
          <w:color w:val="333333"/>
          <w:sz w:val="24"/>
          <w:szCs w:val="24"/>
          <w:highlight w:val="white"/>
        </w:rPr>
      </w:pPr>
    </w:p>
    <w:sectPr w:rsidR="001024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verage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1F5"/>
    <w:multiLevelType w:val="multilevel"/>
    <w:tmpl w:val="B882F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3B"/>
    <w:rsid w:val="000D69E5"/>
    <w:rsid w:val="0010243B"/>
    <w:rsid w:val="001B566B"/>
    <w:rsid w:val="003E09E8"/>
    <w:rsid w:val="00553E8B"/>
    <w:rsid w:val="006E12CC"/>
    <w:rsid w:val="00743AC0"/>
    <w:rsid w:val="00836E8C"/>
    <w:rsid w:val="008C70F5"/>
    <w:rsid w:val="00983DBD"/>
    <w:rsid w:val="00A04269"/>
    <w:rsid w:val="00AB05DF"/>
    <w:rsid w:val="00C052B2"/>
    <w:rsid w:val="00F143C6"/>
    <w:rsid w:val="00F6152C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255F"/>
  <w15:docId w15:val="{0BB37A60-A226-4CF0-85AF-FE6576E3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-2">
    <w:name w:val="Grid Table 7 Colorful Accent 2"/>
    <w:basedOn w:val="a1"/>
    <w:uiPriority w:val="52"/>
    <w:rsid w:val="000D69E5"/>
    <w:pPr>
      <w:spacing w:line="240" w:lineRule="auto"/>
    </w:pPr>
    <w:rPr>
      <w:rFonts w:eastAsia="Times New Roman"/>
      <w:color w:val="943634" w:themeColor="accent2" w:themeShade="BF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2-4">
    <w:name w:val="Grid Table 2 Accent 4"/>
    <w:basedOn w:val="a1"/>
    <w:uiPriority w:val="47"/>
    <w:rsid w:val="000D69E5"/>
    <w:pPr>
      <w:spacing w:line="240" w:lineRule="auto"/>
    </w:pPr>
    <w:rPr>
      <w:rFonts w:eastAsia="Times New Roman"/>
    </w:rPr>
    <w:tblPr>
      <w:tblStyleRowBandSize w:val="1"/>
      <w:tblStyleColBandSize w:val="1"/>
      <w:tblInd w:w="0" w:type="nil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://lkml.iu.edu/hypermail/linux/kernel/0802.0/1496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marc.info/?l=linux-kernel&amp;m=95496636207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\Downloads\OS&#25976;&#25818;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\Downloads\OS&#25976;&#25818;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\Downloads\OS&#25976;&#25818;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\Downloads\OS&#25976;&#25818;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File1: </a:t>
            </a:r>
            <a:r>
              <a:rPr lang="en-US"/>
              <a:t>4</a:t>
            </a:r>
            <a:r>
              <a:rPr lang="zh-TW"/>
              <a:t> </a:t>
            </a:r>
            <a:r>
              <a:rPr lang="en-US"/>
              <a:t>bytes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'[OS數據 (2).xlsx]工作表1'!$AG$6</c:f>
              <c:strCache>
                <c:ptCount val="1"/>
                <c:pt idx="0">
                  <c:v>0.75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(2).xlsx]工作表1'!$AH$6:$AK$6</c:f>
              <c:numCache>
                <c:formatCode>General</c:formatCode>
                <c:ptCount val="4"/>
                <c:pt idx="0">
                  <c:v>3.15E-2</c:v>
                </c:pt>
                <c:pt idx="1">
                  <c:v>3.27E-2</c:v>
                </c:pt>
                <c:pt idx="2">
                  <c:v>3.15E-2</c:v>
                </c:pt>
                <c:pt idx="3">
                  <c:v>3.39E-2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9D-41AC-9681-CB4DAB3A6CEE}"/>
            </c:ext>
          </c:extLst>
        </c:ser>
        <c:ser>
          <c:idx val="2"/>
          <c:order val="1"/>
          <c:tx>
            <c:strRef>
              <c:f>'[OS數據 (2).xlsx]工作表1'!$AG$7</c:f>
              <c:strCache>
                <c:ptCount val="1"/>
                <c:pt idx="0">
                  <c:v>outlier-high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(2).xlsx]工作表1'!$AH$7:$AK$7</c:f>
              <c:numCache>
                <c:formatCode>General</c:formatCode>
                <c:ptCount val="4"/>
                <c:pt idx="0">
                  <c:v>4.7649999999999998E-2</c:v>
                </c:pt>
                <c:pt idx="1">
                  <c:v>5.1300000000000012E-2</c:v>
                </c:pt>
                <c:pt idx="2">
                  <c:v>4.7200000000000006E-2</c:v>
                </c:pt>
                <c:pt idx="3">
                  <c:v>5.2299999999999992E-2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9D-41AC-9681-CB4DAB3A6CEE}"/>
            </c:ext>
          </c:extLst>
        </c:ser>
        <c:ser>
          <c:idx val="0"/>
          <c:order val="2"/>
          <c:tx>
            <c:strRef>
              <c:f>'[OS數據 (2).xlsx]工作表1'!$AG$8</c:f>
              <c:strCache>
                <c:ptCount val="1"/>
                <c:pt idx="0">
                  <c:v>median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tx1"/>
              </a:solidFill>
              <a:ln w="28575">
                <a:solidFill>
                  <a:schemeClr val="bg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(2).xlsx]工作表1'!$AH$8:$AK$8</c:f>
              <c:numCache>
                <c:formatCode>General</c:formatCode>
                <c:ptCount val="4"/>
                <c:pt idx="0">
                  <c:v>2.9949999999999997E-2</c:v>
                </c:pt>
                <c:pt idx="1">
                  <c:v>3.09E-2</c:v>
                </c:pt>
                <c:pt idx="2">
                  <c:v>2.8899999999999999E-2</c:v>
                </c:pt>
                <c:pt idx="3">
                  <c:v>3.1299999999999994E-2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9D-41AC-9681-CB4DAB3A6CEE}"/>
            </c:ext>
          </c:extLst>
        </c:ser>
        <c:ser>
          <c:idx val="3"/>
          <c:order val="3"/>
          <c:tx>
            <c:strRef>
              <c:f>'[OS數據 (2).xlsx]工作表1'!$AG$9</c:f>
              <c:strCache>
                <c:ptCount val="1"/>
                <c:pt idx="0">
                  <c:v>outlier-low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(2).xlsx]工作表1'!$AH$9:$AK$9</c:f>
              <c:numCache>
                <c:formatCode>General</c:formatCode>
                <c:ptCount val="4"/>
                <c:pt idx="0">
                  <c:v>2.4400000000000002E-2</c:v>
                </c:pt>
                <c:pt idx="1">
                  <c:v>2.5000000000000001E-2</c:v>
                </c:pt>
                <c:pt idx="2">
                  <c:v>2.3699999999999999E-2</c:v>
                </c:pt>
                <c:pt idx="3">
                  <c:v>2.4199999999999999E-2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9D-41AC-9681-CB4DAB3A6CEE}"/>
            </c:ext>
          </c:extLst>
        </c:ser>
        <c:ser>
          <c:idx val="1"/>
          <c:order val="4"/>
          <c:tx>
            <c:strRef>
              <c:f>'[OS數據 (2).xlsx]工作表1'!$AG$10</c:f>
              <c:strCache>
                <c:ptCount val="1"/>
                <c:pt idx="0">
                  <c:v>0.25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(2).xlsx]工作表1'!$AH$10:$AK$10</c:f>
              <c:numCache>
                <c:formatCode>General</c:formatCode>
                <c:ptCount val="4"/>
                <c:pt idx="0">
                  <c:v>2.5600000000000001E-2</c:v>
                </c:pt>
                <c:pt idx="1">
                  <c:v>2.5999999999999999E-2</c:v>
                </c:pt>
                <c:pt idx="2">
                  <c:v>2.5399999999999999E-2</c:v>
                </c:pt>
                <c:pt idx="3">
                  <c:v>2.69E-2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9D-41AC-9681-CB4DAB3A6C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315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574245264"/>
        <c:axId val="574245592"/>
      </c:lineChart>
      <c:catAx>
        <c:axId val="57424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592"/>
        <c:crosses val="autoZero"/>
        <c:auto val="1"/>
        <c:lblAlgn val="ctr"/>
        <c:lblOffset val="100"/>
        <c:noMultiLvlLbl val="0"/>
      </c:catAx>
      <c:valAx>
        <c:axId val="574245592"/>
        <c:scaling>
          <c:orientation val="minMax"/>
          <c:min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File2:</a:t>
            </a:r>
            <a:r>
              <a:rPr lang="en-US" altLang="zh-TW" baseline="0"/>
              <a:t> </a:t>
            </a:r>
            <a:r>
              <a:rPr lang="en-US" altLang="zh-TW"/>
              <a:t>577</a:t>
            </a:r>
            <a:r>
              <a:rPr lang="zh-TW"/>
              <a:t> </a:t>
            </a:r>
            <a:r>
              <a:rPr lang="en-US"/>
              <a:t>bytes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'[OS數據 (2).xlsx]工作表1'!$AG$12</c:f>
              <c:strCache>
                <c:ptCount val="1"/>
                <c:pt idx="0">
                  <c:v>0.75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(2).xlsx]工作表1'!$AH$12:$AK$12</c:f>
              <c:numCache>
                <c:formatCode>General</c:formatCode>
                <c:ptCount val="4"/>
                <c:pt idx="0">
                  <c:v>4.1700000000000001E-2</c:v>
                </c:pt>
                <c:pt idx="1">
                  <c:v>4.7199999999999999E-2</c:v>
                </c:pt>
                <c:pt idx="2">
                  <c:v>4.0399999999999998E-2</c:v>
                </c:pt>
                <c:pt idx="3">
                  <c:v>4.3400000000000001E-2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A4-4527-8BE5-583631EF24B0}"/>
            </c:ext>
          </c:extLst>
        </c:ser>
        <c:ser>
          <c:idx val="2"/>
          <c:order val="1"/>
          <c:tx>
            <c:strRef>
              <c:f>'[OS數據 (2).xlsx]工作表1'!$AG$13</c:f>
              <c:strCache>
                <c:ptCount val="1"/>
                <c:pt idx="0">
                  <c:v>outlier-high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(2).xlsx]工作表1'!$AH$13:$AK$13</c:f>
              <c:numCache>
                <c:formatCode>General</c:formatCode>
                <c:ptCount val="4"/>
                <c:pt idx="0">
                  <c:v>6.7500000000000004E-2</c:v>
                </c:pt>
                <c:pt idx="1">
                  <c:v>7.2700000000000001E-2</c:v>
                </c:pt>
                <c:pt idx="2">
                  <c:v>5.96E-2</c:v>
                </c:pt>
                <c:pt idx="3">
                  <c:v>7.0100000000000023E-2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A4-4527-8BE5-583631EF24B0}"/>
            </c:ext>
          </c:extLst>
        </c:ser>
        <c:ser>
          <c:idx val="0"/>
          <c:order val="2"/>
          <c:tx>
            <c:strRef>
              <c:f>'[OS數據 (2).xlsx]工作表1'!$AG$14</c:f>
              <c:strCache>
                <c:ptCount val="1"/>
                <c:pt idx="0">
                  <c:v>median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tx1"/>
              </a:solidFill>
              <a:ln w="28575">
                <a:solidFill>
                  <a:schemeClr val="bg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(2).xlsx]工作表1'!$AH$14:$AK$14</c:f>
              <c:numCache>
                <c:formatCode>General</c:formatCode>
                <c:ptCount val="4"/>
                <c:pt idx="0">
                  <c:v>3.9600000000000003E-2</c:v>
                </c:pt>
                <c:pt idx="1">
                  <c:v>4.1500000000000002E-2</c:v>
                </c:pt>
                <c:pt idx="2">
                  <c:v>3.6199999999999996E-2</c:v>
                </c:pt>
                <c:pt idx="3">
                  <c:v>4.1300000000000003E-2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A4-4527-8BE5-583631EF24B0}"/>
            </c:ext>
          </c:extLst>
        </c:ser>
        <c:ser>
          <c:idx val="3"/>
          <c:order val="3"/>
          <c:tx>
            <c:strRef>
              <c:f>'[OS數據 (2).xlsx]工作表1'!$AG$15</c:f>
              <c:strCache>
                <c:ptCount val="1"/>
                <c:pt idx="0">
                  <c:v>outlier-low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(2).xlsx]工作表1'!$AH$15:$AK$15</c:f>
              <c:numCache>
                <c:formatCode>General</c:formatCode>
                <c:ptCount val="4"/>
                <c:pt idx="0">
                  <c:v>2.9499999999999998E-2</c:v>
                </c:pt>
                <c:pt idx="1">
                  <c:v>2.98E-2</c:v>
                </c:pt>
                <c:pt idx="2">
                  <c:v>3.0099999999999998E-2</c:v>
                </c:pt>
                <c:pt idx="3">
                  <c:v>2.93E-2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A4-4527-8BE5-583631EF24B0}"/>
            </c:ext>
          </c:extLst>
        </c:ser>
        <c:ser>
          <c:idx val="1"/>
          <c:order val="4"/>
          <c:tx>
            <c:strRef>
              <c:f>'[OS數據 (2).xlsx]工作表1'!$AG$16</c:f>
              <c:strCache>
                <c:ptCount val="1"/>
                <c:pt idx="0">
                  <c:v>0.25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(2).xlsx]工作表1'!$AH$16:$AK$16</c:f>
              <c:numCache>
                <c:formatCode>General</c:formatCode>
                <c:ptCount val="4"/>
                <c:pt idx="0">
                  <c:v>3.2399999999999998E-2</c:v>
                </c:pt>
                <c:pt idx="1">
                  <c:v>3.6799999999999999E-2</c:v>
                </c:pt>
                <c:pt idx="2">
                  <c:v>3.2599999999999997E-2</c:v>
                </c:pt>
                <c:pt idx="3">
                  <c:v>3.3799999999999997E-2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CA4-4527-8BE5-583631EF2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315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574245264"/>
        <c:axId val="574245592"/>
      </c:lineChart>
      <c:catAx>
        <c:axId val="57424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592"/>
        <c:crosses val="autoZero"/>
        <c:auto val="1"/>
        <c:lblAlgn val="ctr"/>
        <c:lblOffset val="100"/>
        <c:noMultiLvlLbl val="0"/>
      </c:catAx>
      <c:valAx>
        <c:axId val="574245592"/>
        <c:scaling>
          <c:orientation val="minMax"/>
          <c:max val="7.5000000000000011E-2"/>
          <c:min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File3: 9695</a:t>
            </a:r>
            <a:r>
              <a:rPr lang="zh-TW"/>
              <a:t> </a:t>
            </a:r>
            <a:r>
              <a:rPr lang="en-US"/>
              <a:t>bytes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'[OS數據 (2).xlsx]工作表1'!$AG$18</c:f>
              <c:strCache>
                <c:ptCount val="1"/>
                <c:pt idx="0">
                  <c:v>0.75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(2).xlsx]工作表1'!$AH$18:$AK$18</c:f>
              <c:numCache>
                <c:formatCode>General</c:formatCode>
                <c:ptCount val="4"/>
                <c:pt idx="0">
                  <c:v>0.1908</c:v>
                </c:pt>
                <c:pt idx="1">
                  <c:v>0.1867</c:v>
                </c:pt>
                <c:pt idx="2">
                  <c:v>0.17380000000000001</c:v>
                </c:pt>
                <c:pt idx="3">
                  <c:v>0.1628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7B-482E-9D7B-DA0FDD42CEF1}"/>
            </c:ext>
          </c:extLst>
        </c:ser>
        <c:ser>
          <c:idx val="2"/>
          <c:order val="1"/>
          <c:tx>
            <c:strRef>
              <c:f>'[OS數據 (2).xlsx]工作表1'!$AG$19</c:f>
              <c:strCache>
                <c:ptCount val="1"/>
                <c:pt idx="0">
                  <c:v>outlier-high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(2).xlsx]工作表1'!$AH$19:$AK$19</c:f>
              <c:numCache>
                <c:formatCode>General</c:formatCode>
                <c:ptCount val="4"/>
                <c:pt idx="0">
                  <c:v>0.44255</c:v>
                </c:pt>
                <c:pt idx="1">
                  <c:v>0.42600000000000005</c:v>
                </c:pt>
                <c:pt idx="2">
                  <c:v>0.36635000000000001</c:v>
                </c:pt>
                <c:pt idx="3">
                  <c:v>0.34209999999999996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7B-482E-9D7B-DA0FDD42CEF1}"/>
            </c:ext>
          </c:extLst>
        </c:ser>
        <c:ser>
          <c:idx val="0"/>
          <c:order val="2"/>
          <c:tx>
            <c:strRef>
              <c:f>'[OS數據 (2).xlsx]工作表1'!$AG$20</c:f>
              <c:strCache>
                <c:ptCount val="1"/>
                <c:pt idx="0">
                  <c:v>median</c:v>
                </c:pt>
              </c:strCache>
            </c:strRef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tx1"/>
              </a:solidFill>
              <a:ln w="28575">
                <a:solidFill>
                  <a:schemeClr val="bg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(2).xlsx]工作表1'!$AH$20:$AK$20</c:f>
              <c:numCache>
                <c:formatCode>General</c:formatCode>
                <c:ptCount val="4"/>
                <c:pt idx="0">
                  <c:v>0.14585000000000001</c:v>
                </c:pt>
                <c:pt idx="1">
                  <c:v>0.126</c:v>
                </c:pt>
                <c:pt idx="2">
                  <c:v>0.13774999999999998</c:v>
                </c:pt>
                <c:pt idx="3">
                  <c:v>9.7000000000000003E-2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7B-482E-9D7B-DA0FDD42CEF1}"/>
            </c:ext>
          </c:extLst>
        </c:ser>
        <c:ser>
          <c:idx val="3"/>
          <c:order val="3"/>
          <c:tx>
            <c:strRef>
              <c:f>'[OS數據 (2).xlsx]工作表1'!$AG$21</c:f>
              <c:strCache>
                <c:ptCount val="1"/>
                <c:pt idx="0">
                  <c:v>outlier-low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(2).xlsx]工作表1'!$AH$21:$AK$21</c:f>
              <c:numCache>
                <c:formatCode>General</c:formatCode>
                <c:ptCount val="4"/>
                <c:pt idx="0">
                  <c:v>6.8900000000000003E-2</c:v>
                </c:pt>
                <c:pt idx="1">
                  <c:v>6.7400000000000002E-2</c:v>
                </c:pt>
                <c:pt idx="2">
                  <c:v>6.9900000000000004E-2</c:v>
                </c:pt>
                <c:pt idx="3">
                  <c:v>6.4299999999999996E-2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7B-482E-9D7B-DA0FDD42CEF1}"/>
            </c:ext>
          </c:extLst>
        </c:ser>
        <c:ser>
          <c:idx val="1"/>
          <c:order val="4"/>
          <c:tx>
            <c:strRef>
              <c:f>'[OS數據 (2).xlsx]工作表1'!$AG$22</c:f>
              <c:strCache>
                <c:ptCount val="1"/>
                <c:pt idx="0">
                  <c:v>0.25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(2).xlsx]工作表1'!$AH$22:$AK$22</c:f>
              <c:numCache>
                <c:formatCode>General</c:formatCode>
                <c:ptCount val="4"/>
                <c:pt idx="0">
                  <c:v>9.1899999999999996E-2</c:v>
                </c:pt>
                <c:pt idx="1">
                  <c:v>9.1999999999999998E-2</c:v>
                </c:pt>
                <c:pt idx="2">
                  <c:v>0.10299999999999999</c:v>
                </c:pt>
                <c:pt idx="3">
                  <c:v>8.1100000000000005E-2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07B-482E-9D7B-DA0FDD42C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315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574245264"/>
        <c:axId val="574245592"/>
      </c:lineChart>
      <c:catAx>
        <c:axId val="57424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592"/>
        <c:crosses val="autoZero"/>
        <c:auto val="1"/>
        <c:lblAlgn val="ctr"/>
        <c:lblOffset val="100"/>
        <c:noMultiLvlLbl val="0"/>
      </c:catAx>
      <c:valAx>
        <c:axId val="574245592"/>
        <c:scaling>
          <c:orientation val="minMax"/>
          <c:max val="0.45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File4:</a:t>
            </a:r>
            <a:r>
              <a:rPr lang="en-US" altLang="zh-TW" baseline="0"/>
              <a:t> </a:t>
            </a:r>
            <a:r>
              <a:rPr lang="en-US" altLang="zh-TW"/>
              <a:t>1502860</a:t>
            </a:r>
            <a:r>
              <a:rPr lang="zh-TW"/>
              <a:t> </a:t>
            </a:r>
            <a:r>
              <a:rPr lang="en-US"/>
              <a:t>bytes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'[OS數據 (2).xlsx]工作表1'!$AG$24</c:f>
              <c:strCache>
                <c:ptCount val="1"/>
                <c:pt idx="0">
                  <c:v>0.75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(2).xlsx]工作表1'!$AH$24:$AK$24</c:f>
              <c:numCache>
                <c:formatCode>General</c:formatCode>
                <c:ptCount val="4"/>
                <c:pt idx="0">
                  <c:v>6.9610000000000003</c:v>
                </c:pt>
                <c:pt idx="1">
                  <c:v>6.5884999999999998</c:v>
                </c:pt>
                <c:pt idx="2">
                  <c:v>6.3632</c:v>
                </c:pt>
                <c:pt idx="3">
                  <c:v>6.0159000000000002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A9-426D-BEA3-BB5AF4BB096D}"/>
            </c:ext>
          </c:extLst>
        </c:ser>
        <c:ser>
          <c:idx val="2"/>
          <c:order val="1"/>
          <c:tx>
            <c:strRef>
              <c:f>'[OS數據 (2).xlsx]工作表1'!$AG$25</c:f>
              <c:strCache>
                <c:ptCount val="1"/>
                <c:pt idx="0">
                  <c:v>outlier-high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(2).xlsx]工作表1'!$AH$25:$AK$25</c:f>
              <c:numCache>
                <c:formatCode>General</c:formatCode>
                <c:ptCount val="4"/>
                <c:pt idx="0">
                  <c:v>11.903099999999998</c:v>
                </c:pt>
                <c:pt idx="1">
                  <c:v>9.5352999999999994</c:v>
                </c:pt>
                <c:pt idx="2">
                  <c:v>9.977649999999997</c:v>
                </c:pt>
                <c:pt idx="3">
                  <c:v>9.2081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A9-426D-BEA3-BB5AF4BB096D}"/>
            </c:ext>
          </c:extLst>
        </c:ser>
        <c:ser>
          <c:idx val="0"/>
          <c:order val="2"/>
          <c:tx>
            <c:strRef>
              <c:f>'[OS數據 (2).xlsx]工作表1'!$AG$26</c:f>
              <c:strCache>
                <c:ptCount val="1"/>
                <c:pt idx="0">
                  <c:v>median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dash"/>
            <c:size val="20"/>
            <c:spPr>
              <a:solidFill>
                <a:schemeClr val="tx1"/>
              </a:solidFill>
              <a:ln w="28575">
                <a:solidFill>
                  <a:schemeClr val="bg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(2).xlsx]工作表1'!$AH$26:$AK$26</c:f>
              <c:numCache>
                <c:formatCode>General</c:formatCode>
                <c:ptCount val="4"/>
                <c:pt idx="0">
                  <c:v>6.2927999999999997</c:v>
                </c:pt>
                <c:pt idx="1">
                  <c:v>5.9869000000000003</c:v>
                </c:pt>
                <c:pt idx="2">
                  <c:v>5.39785</c:v>
                </c:pt>
                <c:pt idx="3">
                  <c:v>5.4899000000000004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A9-426D-BEA3-BB5AF4BB096D}"/>
            </c:ext>
          </c:extLst>
        </c:ser>
        <c:ser>
          <c:idx val="3"/>
          <c:order val="3"/>
          <c:tx>
            <c:strRef>
              <c:f>'[OS數據 (2).xlsx]工作表1'!$AG$27</c:f>
              <c:strCache>
                <c:ptCount val="1"/>
                <c:pt idx="0">
                  <c:v>outlier-low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(2).xlsx]工作表1'!$AH$27:$AK$27</c:f>
              <c:numCache>
                <c:formatCode>General</c:formatCode>
                <c:ptCount val="4"/>
                <c:pt idx="0">
                  <c:v>4.6115000000000004</c:v>
                </c:pt>
                <c:pt idx="1">
                  <c:v>4.1037999999999997</c:v>
                </c:pt>
                <c:pt idx="2">
                  <c:v>4.5976999999999997</c:v>
                </c:pt>
                <c:pt idx="3">
                  <c:v>4.2846000000000002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A9-426D-BEA3-BB5AF4BB096D}"/>
            </c:ext>
          </c:extLst>
        </c:ser>
        <c:ser>
          <c:idx val="1"/>
          <c:order val="4"/>
          <c:tx>
            <c:strRef>
              <c:f>'[OS數據 (2).xlsx]工作表1'!$AG$28</c:f>
              <c:strCache>
                <c:ptCount val="1"/>
                <c:pt idx="0">
                  <c:v>0.25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'[OS數據 (2).xlsx]工作表1'!$AH$4:$AK$4</c:f>
              <c:strCache>
                <c:ptCount val="4"/>
                <c:pt idx="0">
                  <c:v>fcntl to fcntl</c:v>
                </c:pt>
                <c:pt idx="1">
                  <c:v>mmap to fcntl</c:v>
                </c:pt>
                <c:pt idx="2">
                  <c:v>fcntl to mmap</c:v>
                </c:pt>
                <c:pt idx="3">
                  <c:v>mmap to mmap</c:v>
                </c:pt>
              </c:strCache>
            </c:strRef>
          </c:cat>
          <c:val>
            <c:numRef>
              <c:f>'[OS數據 (2).xlsx]工作表1'!$AH$28:$AK$28</c:f>
              <c:numCache>
                <c:formatCode>General</c:formatCode>
                <c:ptCount val="4"/>
                <c:pt idx="0">
                  <c:v>5.0909000000000004</c:v>
                </c:pt>
                <c:pt idx="1">
                  <c:v>5.4263000000000003</c:v>
                </c:pt>
                <c:pt idx="2">
                  <c:v>4.8710000000000004</c:v>
                </c:pt>
                <c:pt idx="3">
                  <c:v>4.7765000000000004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A9-426D-BEA3-BB5AF4BB0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315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smooth val="0"/>
        <c:axId val="574245264"/>
        <c:axId val="574245592"/>
      </c:lineChart>
      <c:catAx>
        <c:axId val="57424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592"/>
        <c:crosses val="autoZero"/>
        <c:auto val="1"/>
        <c:lblAlgn val="ctr"/>
        <c:lblOffset val="100"/>
        <c:noMultiLvlLbl val="0"/>
      </c:catAx>
      <c:valAx>
        <c:axId val="574245592"/>
        <c:scaling>
          <c:orientation val="minMax"/>
          <c:max val="12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24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YEN-JEN WANG</cp:lastModifiedBy>
  <cp:revision>17</cp:revision>
  <dcterms:created xsi:type="dcterms:W3CDTF">2019-06-10T01:20:00Z</dcterms:created>
  <dcterms:modified xsi:type="dcterms:W3CDTF">2019-06-11T07:32:00Z</dcterms:modified>
</cp:coreProperties>
</file>