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F0A24" w:sz="6"/>
              <w:left w:val="single" w:color="9F0A24" w:sz="6"/>
              <w:bottom w:val="single" w:color="9F0A24" w:sz="6"/>
              <w:right w:val="single" w:color="9F0A24" w:sz="6"/>
            </w:tcBorders>
            <w:tcMar>
              <w:top w:type="dxa" w:w="120"/>
              <w:left w:type="dxa" w:w="160"/>
              <w:bottom w:type="dxa" w:w="120"/>
              <w:right w:type="dxa" w:w="160"/>
            </w:tcMar>
          </w:tcPr>
          <w:p>
            <w:pPr>
              <w:spacing w:after="60"/>
            </w:pPr>
            <w:r>
              <w:rPr>
                <w:b/>
                <w:bCs/>
                <w:color w:val="9F0A24"/>
                <w:sz w:val="18"/>
                <w:szCs w:val="18"/>
              </w:rPr>
              <w:t xml:space="preserve">DRAFT FOR LEGAL REVIEW — NOT A LEGAL INSTRUMENT</w:t>
            </w:r>
          </w:p>
          <w:p>
            <w:pPr>
              <w:spacing w:after="0"/>
            </w:pPr>
            <w:r>
              <w:rPr>
                <w:b w:val="false"/>
                <w:bCs w:val="false"/>
                <w:color w:val="9F0A24"/>
                <w:sz w:val="18"/>
                <w:szCs w:val="18"/>
              </w:rPr>
              <w:t xml:space="preserve">Working draft prepared by Aethelred for discussion. Not reviewed by counsel for either party; creates no obligations. Bracketed fields are open decision points. Use this instrument instead of the LOI when M42 prefers a strategic-partnership frame without a next-phase commercial range.</w:t>
            </w:r>
          </w:p>
        </w:tc>
      </w:tr>
    </w:tbl>
    <w:p>
      <w:pPr>
        <w:spacing w:after="120"/>
      </w:pPr>
    </w:p>
    <w:p>
      <w:pPr>
        <w:spacing w:after="240" w:before="120"/>
        <w:jc w:val="center"/>
      </w:pPr>
      <w:r>
        <w:rPr>
          <w:b/>
          <w:bCs/>
          <w:color w:val="111827"/>
          <w:sz w:val="32"/>
          <w:szCs w:val="32"/>
        </w:rPr>
        <w:t xml:space="preserve">MEMORANDUM OF UNDERSTANDING</w:t>
      </w:r>
    </w:p>
    <w:p>
      <w:pPr>
        <w:spacing w:after="240"/>
        <w:jc w:val="center"/>
      </w:pPr>
      <w:r>
        <w:rPr>
          <w:color w:val="6B7280"/>
          <w:sz w:val="23"/>
          <w:szCs w:val="23"/>
        </w:rPr>
        <w:t xml:space="preserve">M42 × Aethelred — Strategic Collaboration</w:t>
      </w:r>
    </w:p>
    <w:p>
      <w:pPr>
        <w:spacing w:after="40" w:before="120"/>
      </w:pPr>
      <w:r>
        <w:rPr>
          <w:b/>
          <w:bCs/>
          <w:color w:val="111827"/>
          <w:sz w:val="21"/>
          <w:szCs w:val="21"/>
        </w:rPr>
        <w:t xml:space="preserve">Between:</w:t>
      </w:r>
    </w:p>
    <w:p>
      <w:pPr>
        <w:spacing w:after="40"/>
      </w:pPr>
      <w:r>
        <w:rPr>
          <w:color w:val="111827"/>
          <w:sz w:val="21"/>
          <w:szCs w:val="21"/>
        </w:rPr>
        <w:t xml:space="preserve">[M42 legal entity name] (“M42”)</w:t>
      </w:r>
    </w:p>
    <w:p>
      <w:pPr>
        <w:spacing w:after="40" w:before="120"/>
      </w:pPr>
      <w:r>
        <w:rPr>
          <w:b/>
          <w:bCs/>
          <w:color w:val="111827"/>
          <w:sz w:val="21"/>
          <w:szCs w:val="21"/>
        </w:rPr>
        <w:t xml:space="preserve">And:</w:t>
      </w:r>
    </w:p>
    <w:p>
      <w:pPr>
        <w:spacing w:after="40"/>
      </w:pPr>
      <w:r>
        <w:rPr>
          <w:color w:val="111827"/>
          <w:sz w:val="21"/>
          <w:szCs w:val="21"/>
        </w:rPr>
        <w:t xml:space="preserve">[Aethelred Labs Ltd, in formation under ADGM] (“Aethelred”)</w:t>
      </w:r>
    </w:p>
    <w:p>
      <w:pPr>
        <w:spacing w:after="40" w:before="120"/>
      </w:pPr>
      <w:r>
        <w:rPr>
          <w:b/>
          <w:bCs/>
          <w:color w:val="111827"/>
          <w:sz w:val="21"/>
          <w:szCs w:val="21"/>
        </w:rPr>
        <w:t xml:space="preserve">Date:</w:t>
      </w:r>
    </w:p>
    <w:p>
      <w:pPr>
        <w:spacing w:after="40"/>
      </w:pPr>
      <w:r>
        <w:rPr>
          <w:color w:val="111827"/>
          <w:sz w:val="21"/>
          <w:szCs w:val="21"/>
        </w:rPr>
        <w:t xml:space="preserve">[____], 2026</w:t>
      </w:r>
    </w:p>
    <w:p>
      <w:pPr>
        <w:spacing w:after="140" w:before="280"/>
      </w:pPr>
      <w:r>
        <w:rPr>
          <w:b/>
          <w:bCs/>
          <w:color w:val="111827"/>
          <w:sz w:val="23"/>
          <w:szCs w:val="23"/>
        </w:rPr>
        <w:t xml:space="preserve">1. Purpose</w:t>
      </w:r>
    </w:p>
    <w:p>
      <w:pPr>
        <w:spacing w:after="160" w:line="300"/>
        <w:jc w:val="both"/>
      </w:pPr>
      <w:r>
        <w:rPr>
          <w:color w:val="111827"/>
          <w:sz w:val="21"/>
          <w:szCs w:val="21"/>
        </w:rPr>
        <w:t xml:space="preserve">This Memorandum of Understanding (“MOU”) records the parties’ shared intent to collaborate on sovereign, verifiable AI compute infrastructure for regulated healthcare workloads, following the four-week paid evaluation pilot completed on [date].</w:t>
      </w:r>
    </w:p>
    <w:p>
      <w:pPr>
        <w:spacing w:after="140" w:before="280"/>
      </w:pPr>
      <w:r>
        <w:rPr>
          <w:b/>
          <w:bCs/>
          <w:color w:val="111827"/>
          <w:sz w:val="23"/>
          <w:szCs w:val="23"/>
        </w:rPr>
        <w:t xml:space="preserve">2. Shared Objectives</w:t>
      </w:r>
    </w:p>
    <w:p>
      <w:pPr>
        <w:spacing w:after="160" w:line="300"/>
        <w:jc w:val="both"/>
      </w:pPr>
      <w:r>
        <w:rPr>
          <w:color w:val="111827"/>
          <w:sz w:val="21"/>
          <w:szCs w:val="21"/>
        </w:rPr>
        <w:t xml:space="preserve">2.1. Establish independently verifiable evidence — TEE attestation, zkML proof, and Digital Seal — as the assurance standard for M42’s regulated AI workloads sold to sovereign and enterprise buyers.</w:t>
      </w:r>
    </w:p>
    <w:p>
      <w:pPr>
        <w:spacing w:after="160" w:line="300"/>
        <w:jc w:val="both"/>
      </w:pPr>
      <w:r>
        <w:rPr>
          <w:color w:val="111827"/>
          <w:sz w:val="21"/>
          <w:szCs w:val="21"/>
        </w:rPr>
        <w:t xml:space="preserve">2.2. Keep sensitive health and genomic data within approved jurisdictional boundaries while making results verifiable across borders.</w:t>
      </w:r>
    </w:p>
    <w:p>
      <w:pPr>
        <w:spacing w:after="160" w:line="300"/>
        <w:jc w:val="both"/>
      </w:pPr>
      <w:r>
        <w:rPr>
          <w:color w:val="111827"/>
          <w:sz w:val="21"/>
          <w:szCs w:val="21"/>
        </w:rPr>
        <w:t xml:space="preserve">2.3. Position the UAE as the reference deployment for sovereign verified AI compute in healthcare.</w:t>
      </w:r>
    </w:p>
    <w:p>
      <w:pPr>
        <w:spacing w:after="140" w:before="280"/>
      </w:pPr>
      <w:r>
        <w:rPr>
          <w:b/>
          <w:bCs/>
          <w:color w:val="111827"/>
          <w:sz w:val="23"/>
          <w:szCs w:val="23"/>
        </w:rPr>
        <w:t xml:space="preserve">3. Areas of Collaboration</w:t>
      </w:r>
    </w:p>
    <w:p>
      <w:pPr>
        <w:spacing w:after="160" w:line="300"/>
        <w:jc w:val="both"/>
      </w:pPr>
      <w:r>
        <w:rPr>
          <w:color w:val="111827"/>
          <w:sz w:val="21"/>
          <w:szCs w:val="21"/>
        </w:rPr>
        <w:t xml:space="preserve">The parties intend to explore, without obligation:</w:t>
      </w:r>
    </w:p>
    <w:p>
      <w:pPr>
        <w:spacing w:after="160" w:line="300"/>
        <w:jc w:val="both"/>
      </w:pPr>
      <w:r>
        <w:rPr>
          <w:color w:val="111827"/>
          <w:sz w:val="21"/>
          <w:szCs w:val="21"/>
        </w:rPr>
        <w:t xml:space="preserve">a. Next-phase workloads. Expanded Med42 evaluation, de-identified retrospective clinical AI, or genomics workloads under the pilot’s evidence contract, each subject to its own statement of work.</w:t>
      </w:r>
    </w:p>
    <w:p>
      <w:pPr>
        <w:spacing w:after="160" w:line="300"/>
        <w:jc w:val="both"/>
      </w:pPr>
      <w:r>
        <w:rPr>
          <w:color w:val="111827"/>
          <w:sz w:val="21"/>
          <w:szCs w:val="21"/>
        </w:rPr>
        <w:t xml:space="preserve">b. Joint working group. A standing technical working group ([quarterly / monthly]) covering evidence schema evolution, regulatory alignment (UAE data protection, NIST AI RMF, ISO/IEC 42001), and workload prioritization.</w:t>
      </w:r>
    </w:p>
    <w:p>
      <w:pPr>
        <w:spacing w:after="160" w:line="300"/>
        <w:jc w:val="both"/>
      </w:pPr>
      <w:r>
        <w:rPr>
          <w:color w:val="111827"/>
          <w:sz w:val="21"/>
          <w:szCs w:val="21"/>
        </w:rPr>
        <w:t xml:space="preserve">c. Validator participation. Evaluation of M42 operating validator capacity on its approved infrastructure under Aethelred’s Proof of Useful Work design, subject to the independence conditions described in the business case (no single party controls consensus; rewards structured under the ADGM virtual-asset framework with tax and accounting review).</w:t>
      </w:r>
    </w:p>
    <w:p>
      <w:pPr>
        <w:spacing w:after="160" w:line="300"/>
        <w:jc w:val="both"/>
      </w:pPr>
      <w:r>
        <w:rPr>
          <w:color w:val="111827"/>
          <w:sz w:val="21"/>
          <w:szCs w:val="21"/>
        </w:rPr>
        <w:t xml:space="preserve">d. Reference and co-marketing. Subject to Section 6, jointly approved case studies or reference materials describing the pilot methodology and evidence model.</w:t>
      </w:r>
    </w:p>
    <w:p>
      <w:pPr>
        <w:spacing w:after="140" w:before="280"/>
      </w:pPr>
      <w:r>
        <w:rPr>
          <w:b/>
          <w:bCs/>
          <w:color w:val="111827"/>
          <w:sz w:val="23"/>
          <w:szCs w:val="23"/>
        </w:rPr>
        <w:t xml:space="preserve">4. Strategic Investment Acknowledgment</w:t>
      </w:r>
    </w:p>
    <w:p>
      <w:pPr>
        <w:spacing w:after="160" w:line="300"/>
        <w:jc w:val="both"/>
      </w:pPr>
      <w:r>
        <w:rPr>
          <w:color w:val="111827"/>
          <w:sz w:val="21"/>
          <w:szCs w:val="21"/>
        </w:rPr>
        <w:t xml:space="preserve">The parties acknowledge that discussions regarding a potential strategic investment by [M42 / its corporate development affiliate] in Aethelred may proceed in parallel. Such discussions are independent of this MOU, are not a condition of any collaboration described here, and will be governed by their own documentation and approvals.</w:t>
      </w:r>
    </w:p>
    <w:p>
      <w:pPr>
        <w:spacing w:after="140" w:before="280"/>
      </w:pPr>
      <w:r>
        <w:rPr>
          <w:b/>
          <w:bCs/>
          <w:color w:val="111827"/>
          <w:sz w:val="23"/>
          <w:szCs w:val="23"/>
        </w:rPr>
        <w:t xml:space="preserve">5. Status and Non-Binding Effect</w:t>
      </w:r>
    </w:p>
    <w:p>
      <w:pPr>
        <w:spacing w:after="160" w:line="300"/>
        <w:jc w:val="both"/>
      </w:pPr>
      <w:r>
        <w:rPr>
          <w:color w:val="111827"/>
          <w:sz w:val="21"/>
          <w:szCs w:val="21"/>
        </w:rPr>
        <w:t xml:space="preserve">5.1. This MOU is a statement of intent. Except for Sections 6 (announcements and confidentiality) and 7 (costs), it is non-binding and creates no legal obligation, partnership, agency, or joint venture.</w:t>
      </w:r>
    </w:p>
    <w:p>
      <w:pPr>
        <w:spacing w:after="160" w:line="300"/>
        <w:jc w:val="both"/>
      </w:pPr>
      <w:r>
        <w:rPr>
          <w:color w:val="111827"/>
          <w:sz w:val="21"/>
          <w:szCs w:val="21"/>
        </w:rPr>
        <w:t xml:space="preserve">5.2. Any binding engagement requires definitive agreements executed after Aethelred’s ADGM entity registration completes and after each party’s internal approvals and legal review.</w:t>
      </w:r>
    </w:p>
    <w:p>
      <w:pPr>
        <w:spacing w:after="160" w:line="300"/>
        <w:jc w:val="both"/>
      </w:pPr>
      <w:r>
        <w:rPr>
          <w:color w:val="111827"/>
          <w:sz w:val="21"/>
          <w:szCs w:val="21"/>
        </w:rPr>
        <w:t xml:space="preserve">5.3. No M42 production system shall depend on Aethelred infrastructure under this MOU.</w:t>
      </w:r>
    </w:p>
    <w:p>
      <w:pPr>
        <w:spacing w:after="140" w:before="280"/>
      </w:pPr>
      <w:r>
        <w:rPr>
          <w:b/>
          <w:bCs/>
          <w:color w:val="111827"/>
          <w:sz w:val="23"/>
          <w:szCs w:val="23"/>
        </w:rPr>
        <w:t xml:space="preserve">6. Announcements and Confidentiality</w:t>
      </w:r>
    </w:p>
    <w:p>
      <w:pPr>
        <w:spacing w:after="160" w:line="300"/>
        <w:jc w:val="both"/>
      </w:pPr>
      <w:r>
        <w:rPr>
          <w:color w:val="111827"/>
          <w:sz w:val="21"/>
          <w:szCs w:val="21"/>
        </w:rPr>
        <w:t xml:space="preserve">6.1. Neither party will make public announcements about this MOU or the collaboration, or use the other’s name or marks, without prior written approval.</w:t>
      </w:r>
    </w:p>
    <w:p>
      <w:pPr>
        <w:spacing w:after="160" w:line="300"/>
        <w:jc w:val="both"/>
      </w:pPr>
      <w:r>
        <w:rPr>
          <w:color w:val="111827"/>
          <w:sz w:val="21"/>
          <w:szCs w:val="21"/>
        </w:rPr>
        <w:t xml:space="preserve">6.2. Pilot artifacts, evidence bundles, and the contents of this MOU remain confidential under [existing NDA dated ____ / terms to be agreed].</w:t>
      </w:r>
    </w:p>
    <w:p>
      <w:pPr>
        <w:spacing w:after="140" w:before="280"/>
      </w:pPr>
      <w:r>
        <w:rPr>
          <w:b/>
          <w:bCs/>
          <w:color w:val="111827"/>
          <w:sz w:val="23"/>
          <w:szCs w:val="23"/>
        </w:rPr>
        <w:t xml:space="preserve">7. Costs</w:t>
      </w:r>
    </w:p>
    <w:p>
      <w:pPr>
        <w:spacing w:after="160" w:line="300"/>
        <w:jc w:val="both"/>
      </w:pPr>
      <w:r>
        <w:rPr>
          <w:color w:val="111827"/>
          <w:sz w:val="21"/>
          <w:szCs w:val="21"/>
        </w:rPr>
        <w:t xml:space="preserve">Each party bears its own costs.</w:t>
      </w:r>
    </w:p>
    <w:p>
      <w:pPr>
        <w:spacing w:after="140" w:before="280"/>
      </w:pPr>
      <w:r>
        <w:rPr>
          <w:b/>
          <w:bCs/>
          <w:color w:val="111827"/>
          <w:sz w:val="23"/>
          <w:szCs w:val="23"/>
        </w:rPr>
        <w:t xml:space="preserve">8. Term and Review</w:t>
      </w:r>
    </w:p>
    <w:p>
      <w:pPr>
        <w:spacing w:after="160" w:line="300"/>
        <w:jc w:val="both"/>
      </w:pPr>
      <w:r>
        <w:rPr>
          <w:color w:val="111827"/>
          <w:sz w:val="21"/>
          <w:szCs w:val="21"/>
        </w:rPr>
        <w:t xml:space="preserve">This MOU takes effect on signature and continues for [12] months unless extended in writing or superseded by definitive agreements. The parties will review progress at the joint working group every [quarter].</w:t>
      </w:r>
    </w:p>
    <w:p>
      <w:pPr>
        <w:spacing w:after="140" w:before="280"/>
      </w:pPr>
      <w:r>
        <w:rPr>
          <w:b/>
          <w:bCs/>
          <w:color w:val="111827"/>
          <w:sz w:val="23"/>
          <w:szCs w:val="23"/>
        </w:rPr>
        <w:t xml:space="preserve">9. Governing Framework</w:t>
      </w:r>
    </w:p>
    <w:p>
      <w:pPr>
        <w:spacing w:after="160" w:line="300"/>
        <w:jc w:val="both"/>
      </w:pPr>
      <w:r>
        <w:rPr>
          <w:color w:val="111827"/>
          <w:sz w:val="21"/>
          <w:szCs w:val="21"/>
        </w:rPr>
        <w:t xml:space="preserve">This MOU is to be read under the laws of [the Abu Dhabi Global Market].</w:t>
      </w:r>
    </w:p>
    <w:p>
      <w:pPr>
        <w:spacing w:after="60" w:before="480"/>
      </w:pPr>
      <w:r>
        <w:rPr>
          <w:b/>
          <w:bCs/>
          <w:color w:val="111827"/>
          <w:sz w:val="21"/>
          <w:szCs w:val="21"/>
        </w:rPr>
        <w:t xml:space="preserve">For M42:</w:t>
      </w:r>
    </w:p>
    <w:p>
      <w:pPr>
        <w:tabs>
          <w:tab w:val="left" w:pos="1800"/>
          <w:tab w:val="right" w:pos="7200"/>
        </w:tabs>
        <w:spacing w:after="120"/>
      </w:pPr>
      <w:r>
        <w:rPr>
          <w:color w:val="111827"/>
          <w:sz w:val="21"/>
          <w:szCs w:val="21"/>
        </w:rPr>
        <w:t xml:space="preserve">Signature: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Name: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Title: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Date:</w:t>
      </w:r>
      <w:r>
        <w:t xml:space="preserve">	</w:t>
      </w:r>
      <w:r>
        <w:rPr>
          <w:color w:val="6B7280"/>
          <w:sz w:val="21"/>
          <w:szCs w:val="21"/>
        </w:rPr>
        <w:t xml:space="preserve">_______________________________________</w:t>
      </w:r>
    </w:p>
    <w:p>
      <w:pPr>
        <w:spacing w:after="60" w:before="480"/>
      </w:pPr>
      <w:r>
        <w:rPr>
          <w:b/>
          <w:bCs/>
          <w:color w:val="111827"/>
          <w:sz w:val="21"/>
          <w:szCs w:val="21"/>
        </w:rPr>
        <w:t xml:space="preserve">For Aethelred:</w:t>
      </w:r>
    </w:p>
    <w:p>
      <w:pPr>
        <w:tabs>
          <w:tab w:val="left" w:pos="1800"/>
          <w:tab w:val="right" w:pos="7200"/>
        </w:tabs>
        <w:spacing w:after="120"/>
      </w:pPr>
      <w:r>
        <w:rPr>
          <w:color w:val="111827"/>
          <w:sz w:val="21"/>
          <w:szCs w:val="21"/>
        </w:rPr>
        <w:t xml:space="preserve">Signature: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Name: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Title:</w:t>
      </w:r>
      <w:r>
        <w:t xml:space="preserve">	</w:t>
      </w:r>
      <w:r>
        <w:rPr>
          <w:color w:val="6B7280"/>
          <w:sz w:val="21"/>
          <w:szCs w:val="21"/>
        </w:rPr>
        <w:t xml:space="preserve">_______________________________________</w:t>
      </w:r>
    </w:p>
    <w:p>
      <w:pPr>
        <w:tabs>
          <w:tab w:val="left" w:pos="1800"/>
          <w:tab w:val="right" w:pos="7200"/>
        </w:tabs>
        <w:spacing w:after="120"/>
      </w:pPr>
      <w:r>
        <w:rPr>
          <w:color w:val="111827"/>
          <w:sz w:val="21"/>
          <w:szCs w:val="21"/>
        </w:rPr>
        <w:t xml:space="preserve">Date:</w:t>
      </w:r>
      <w:r>
        <w:t xml:space="preserve">	</w:t>
      </w:r>
      <w:r>
        <w:rPr>
          <w:color w:val="6B7280"/>
          <w:sz w:val="21"/>
          <w:szCs w:val="21"/>
        </w:rPr>
        <w:t xml:space="preserve">_______________________________________</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F0A24" w:sz="6"/>
              <w:left w:val="single" w:color="9F0A24" w:sz="6"/>
              <w:bottom w:val="single" w:color="9F0A24" w:sz="6"/>
              <w:right w:val="single" w:color="9F0A24" w:sz="6"/>
            </w:tcBorders>
            <w:tcMar>
              <w:top w:type="dxa" w:w="120"/>
              <w:left w:type="dxa" w:w="160"/>
              <w:bottom w:type="dxa" w:w="120"/>
              <w:right w:type="dxa" w:w="160"/>
            </w:tcMar>
          </w:tcPr>
          <w:p>
            <w:pPr>
              <w:spacing w:after="60"/>
            </w:pPr>
            <w:r>
              <w:rPr>
                <w:b/>
                <w:bCs/>
                <w:color w:val="9F0A24"/>
                <w:sz w:val="18"/>
                <w:szCs w:val="18"/>
              </w:rPr>
              <w:t xml:space="preserve">INTERNAL — AETHELRED ONLY — REMOVE THIS PAGE BEFORE SENDING TO M42</w:t>
            </w:r>
          </w:p>
          <w:p>
            <w:pPr>
              <w:spacing w:after="0"/>
            </w:pPr>
            <w:r>
              <w:rPr>
                <w:b w:val="false"/>
                <w:bCs w:val="false"/>
                <w:color w:val="9F0A24"/>
                <w:sz w:val="18"/>
                <w:szCs w:val="18"/>
              </w:rPr>
              <w:t xml:space="preserve">Open decision points to resolve with counsel before the draft is shared externally.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026"/>
      </w:tblGrid>
      <w:tr>
        <w:trPr>
          <w:tblHeader/>
        </w:trPr>
        <w:tc>
          <w:tcPr>
            <w:tcW w:type="dxa" w:w="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color w:val="111827"/>
                <w:sz w:val="19"/>
                <w:szCs w:val="19"/>
              </w:rPr>
              <w:t xml:space="preserv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color w:val="111827"/>
                <w:sz w:val="19"/>
                <w:szCs w:val="19"/>
              </w:rPr>
              <w:t xml:space="preserve">Decision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color w:val="111827"/>
                <w:sz w:val="19"/>
                <w:szCs w:val="19"/>
              </w:rPr>
              <w:t xml:space="preserve">Options</w:t>
            </w:r>
          </w:p>
        </w:tc>
        <w:tc>
          <w:tcPr>
            <w:tcW w:type="dxa" w:w="30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b/>
                <w:bCs/>
                <w:color w:val="111827"/>
                <w:sz w:val="19"/>
                <w:szCs w:val="19"/>
              </w:rPr>
              <w:t xml:space="preserve">Recommendation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LOI or MOU at the Week 4 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LOI (commercial) / MOU (strategic)</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Bring both; lead with LOI if the value scorecard lands at or above target, fall back to MOU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Validator clause §3c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Include / defer to investment docs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Include — it plants the equity-aligned role in the commercial track too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Working group cadence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Monthly / quarterly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Monthly for the first quarter, then quarterly; early cadence builds the dependency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Term length §8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6 / 12 / 18 months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827"/>
                <w:sz w:val="19"/>
                <w:szCs w:val="19"/>
              </w:rPr>
              <w:t xml:space="preserve">12 months — long enough to span testnet launch, short enough to force renewal contact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6B7280"/>
        <w:sz w:val="14"/>
        <w:szCs w:val="14"/>
      </w:rPr>
      <w:t xml:space="preserve">Confidential · Working draft · No legal effect</w:t>
    </w:r>
    <w:r>
      <w:rPr>
        <w:sz w:val="14"/>
        <w:szCs w:val="14"/>
      </w:rPr>
      <w:t xml:space="preserve">	</w:t>
    </w:r>
    <w:r>
      <w:rPr>
        <w:color w:val="6B728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0A24" w:sz="4" w:space="2"/>
      </w:pBdr>
      <w:tabs>
        <w:tab w:val="right" w:pos="9026"/>
      </w:tabs>
    </w:pPr>
    <w:r>
      <w:rPr>
        <w:b/>
        <w:bCs/>
        <w:color w:val="9F0A24"/>
        <w:sz w:val="14"/>
        <w:szCs w:val="14"/>
      </w:rPr>
      <w:t xml:space="preserve">AETHELRED × M42 · MEMORANDUM OF UNDERSTANDING</w:t>
    </w:r>
    <w:r>
      <w:rPr>
        <w:color w:val="6B7280"/>
        <w:sz w:val="14"/>
        <w:szCs w:val="14"/>
      </w:rPr>
      <w:t xml:space="preserve">	DRAFT FOR LEGAL REVIEW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 (Draft) — M42 × Aethelred Strategic Collaboration</dc:title>
  <dc:creator>Ramesh Tamilselvan</dc:creator>
  <cp:lastModifiedBy>Un-named</cp:lastModifiedBy>
  <cp:revision>1</cp:revision>
  <dcterms:created xsi:type="dcterms:W3CDTF">2026-06-12T07:34:48.675Z</dcterms:created>
  <dcterms:modified xsi:type="dcterms:W3CDTF">2026-06-12T07:34:48.675Z</dcterms:modified>
</cp:coreProperties>
</file>

<file path=docProps/custom.xml><?xml version="1.0" encoding="utf-8"?>
<Properties xmlns="http://schemas.openxmlformats.org/officeDocument/2006/custom-properties" xmlns:vt="http://schemas.openxmlformats.org/officeDocument/2006/docPropsVTypes"/>
</file>