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ML Model Comparison Report</w:t>
      </w:r>
    </w:p>
    <w:p>
      <w:pPr>
        <w:jc w:val="center"/>
      </w:pPr>
      <w:r>
        <w:rPr>
          <w:color w:val="666666"/>
          <w:sz w:val="18"/>
        </w:rPr>
        <w:t>Generated: 2025-09-10 19:57</w:t>
      </w:r>
    </w:p>
    <w:p>
      <w:r>
        <w:br w:type="page"/>
      </w:r>
    </w:p>
    <w:p>
      <w:pPr>
        <w:pStyle w:val="CustomHeading1"/>
      </w:pPr>
      <w:r>
        <w:t>ML Model Comparison Report</w:t>
      </w:r>
    </w:p>
    <w:p>
      <w:pPr>
        <w:pStyle w:val="CustomHeading2"/>
      </w:pPr>
      <w:r>
        <w:t>Executive Summary</w:t>
      </w:r>
    </w:p>
    <w:p>
      <w:pPr/>
      <w:r>
        <w:t>This analysis compares state-of-the-art object detection models for deployment in autonomous vehicle systems.</w:t>
      </w:r>
    </w:p>
    <w:p>
      <w:pPr>
        <w:pStyle w:val="CustomHeading2"/>
      </w:pPr>
      <w:r>
        <w:t>Model Analysis</w:t>
      </w:r>
    </w:p>
    <w:p>
      <w:pPr>
        <w:pStyle w:val="CustomHeading3"/>
      </w:pPr>
      <w:r>
        <w:t>RT-DETR (Recommended)</w:t>
      </w:r>
    </w:p>
    <w:p>
      <w:pPr/>
      <w:r>
        <w:t>RT-DETR represents a breakthrough in real-time object detection:</w:t>
      </w:r>
    </w:p>
    <w:p>
      <w:pPr>
        <w:pStyle w:val="ListBullet"/>
      </w:pPr>
      <w:r>
        <w:t>**Architecture**: End-to-end transformer-based detector</w:t>
      </w:r>
    </w:p>
    <w:p>
      <w:pPr>
        <w:pStyle w:val="ListBullet"/>
      </w:pPr>
      <w:r>
        <w:t>**Performance**: 42.3 mAP @ 31.2 FPS on COCO dataset</w:t>
      </w:r>
    </w:p>
    <w:p>
      <w:pPr>
        <w:pStyle w:val="ListBullet"/>
      </w:pPr>
      <w:r>
        <w:t>**Key Advantages**:</w:t>
      </w:r>
    </w:p>
    <w:p>
      <w:pPr>
        <w:pStyle w:val="ListBullet"/>
      </w:pPr>
      <w:r>
        <w:t>No NMS post-processing required</w:t>
      </w:r>
    </w:p>
    <w:p>
      <w:pPr>
        <w:pStyle w:val="ListBullet"/>
      </w:pPr>
      <w:r>
        <w:t>Consistent inference time</w:t>
      </w:r>
    </w:p>
    <w:p>
      <w:pPr>
        <w:pStyle w:val="ListBullet"/>
      </w:pPr>
      <w:r>
        <w:t>Strong performance on small objects</w:t>
      </w:r>
    </w:p>
    <w:p>
      <w:pPr>
        <w:pStyle w:val="CustomHeading3"/>
      </w:pPr>
      <w:r>
        <w:t>Implementation Example</w:t>
      </w:r>
    </w:p>
    <w:p>
      <w:r>
        <w:rPr>
          <w:b/>
          <w:sz w:val="18"/>
        </w:rPr>
        <w:t>Code (python):</w:t>
      </w:r>
    </w:p>
    <w:p>
      <w:pPr>
        <w:pStyle w:val="CodeBlock"/>
      </w:pPr>
      <w:r>
        <w:t>import torch</w:t>
      </w:r>
    </w:p>
    <w:p>
      <w:pPr>
        <w:pStyle w:val="CodeBlock"/>
      </w:pPr>
      <w:r>
        <w:t>from rt_detr import RTDETR</w:t>
      </w:r>
    </w:p>
    <w:p>
      <w:pPr>
        <w:pStyle w:val="CodeBlock"/>
      </w:pPr>
    </w:p>
    <w:p>
      <w:pPr>
        <w:pStyle w:val="CodeBlock"/>
      </w:pPr>
      <w:r>
        <w:t># Load model</w:t>
      </w:r>
    </w:p>
    <w:p>
      <w:pPr>
        <w:pStyle w:val="CodeBlock"/>
      </w:pPr>
      <w:r>
        <w:t>model = RTDETR.load_pretrained('rtdetr_r50vd_6x_coco')</w:t>
      </w:r>
    </w:p>
    <w:p>
      <w:pPr>
        <w:pStyle w:val="CodeBlock"/>
      </w:pPr>
    </w:p>
    <w:p>
      <w:pPr>
        <w:pStyle w:val="CodeBlock"/>
      </w:pPr>
      <w:r>
        <w:t># Inference</w:t>
      </w:r>
    </w:p>
    <w:p>
      <w:pPr>
        <w:pStyle w:val="CodeBlock"/>
      </w:pPr>
      <w:r>
        <w:t>results = model.predict(image, conf_threshold=0.5)</w:t>
      </w:r>
    </w:p>
    <w:p>
      <w:pPr>
        <w:pStyle w:val="CodeBlock"/>
      </w:pPr>
      <w:r>
        <w:t>for detection in results:</w:t>
      </w:r>
    </w:p>
    <w:p>
      <w:pPr>
        <w:pStyle w:val="CodeBlock"/>
      </w:pPr>
      <w:r>
        <w:t xml:space="preserve">    print(f"Class: {detection.class_name}, Confidence: {detection.confidence}")</w:t>
      </w:r>
    </w:p>
    <w:p>
      <w:pPr>
        <w:pStyle w:val="CustomHeading3"/>
      </w:pPr>
      <w:r>
        <w:t>Deployment Considerations</w:t>
      </w:r>
    </w:p>
    <w:p>
      <w:pPr/>
      <w:r>
        <w:t>When deploying RT-DETR in production:</w:t>
      </w:r>
    </w:p>
    <w:p>
      <w:pPr/>
      <w:r>
        <w:t>1. **Hardware Requirements**</w:t>
      </w:r>
    </w:p>
    <w:p>
      <w:pPr>
        <w:pStyle w:val="ListBullet"/>
      </w:pPr>
      <w:r>
        <w:t>Minimum: RTX 3070 or equivalent</w:t>
      </w:r>
    </w:p>
    <w:p>
      <w:pPr>
        <w:pStyle w:val="ListBullet"/>
      </w:pPr>
      <w:r>
        <w:t>Recommended: RTX 4080+ for multiple camera streams</w:t>
      </w:r>
    </w:p>
    <w:p>
      <w:pPr/>
      <w:r>
        <w:t>2. **Optimization Strategies**</w:t>
      </w:r>
    </w:p>
    <w:p>
      <w:pPr>
        <w:pStyle w:val="ListBullet"/>
      </w:pPr>
      <w:r>
        <w:t>TensorRT conversion for NVIDIA GPUs</w:t>
      </w:r>
    </w:p>
    <w:p>
      <w:pPr>
        <w:pStyle w:val="ListBullet"/>
      </w:pPr>
      <w:r>
        <w:t>ONNX export for cross-platform deployment</w:t>
      </w:r>
    </w:p>
    <w:p>
      <w:pPr>
        <w:pStyle w:val="ListBullet"/>
      </w:pPr>
      <w:r>
        <w:t>INT8 quantization for edge devices</w:t>
      </w:r>
    </w:p>
    <w:p>
      <w:pPr>
        <w:pStyle w:val="CustomHeading2"/>
      </w:pPr>
      <w:r>
        <w:t>Conclusion</w:t>
      </w:r>
    </w:p>
    <w:p>
      <w:pPr/>
      <w:r>
        <w:t>RT-DETR emerges as the optimal choice for real-time autonomous vehicle object detection, balancing accuracy and speed requirements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 w:after="120"/>
    </w:pPr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120"/>
    </w:pPr>
    <w:rPr>
      <w:rFonts w:ascii="Calibri" w:hAnsi="Calibri"/>
      <w:b/>
      <w:color w:val="003366"/>
      <w:sz w:val="32"/>
    </w:rPr>
  </w:style>
  <w:style w:type="paragraph" w:customStyle="1" w:styleId="CustomHeading1">
    <w:name w:val="Custom Heading 1"/>
    <w:pPr>
      <w:spacing w:after="120"/>
    </w:pPr>
    <w:rPr>
      <w:rFonts w:ascii="Calibri" w:hAnsi="Calibri"/>
      <w:b/>
      <w:color w:val="0066CC"/>
      <w:sz w:val="28"/>
    </w:rPr>
  </w:style>
  <w:style w:type="paragraph" w:customStyle="1" w:styleId="CustomHeading2">
    <w:name w:val="Custom Heading 2"/>
    <w:pPr>
      <w:spacing w:after="120"/>
    </w:pPr>
    <w:rPr>
      <w:rFonts w:ascii="Calibri" w:hAnsi="Calibri"/>
      <w:b/>
      <w:color w:val="333333"/>
      <w:sz w:val="24"/>
    </w:rPr>
  </w:style>
  <w:style w:type="paragraph" w:customStyle="1" w:styleId="CustomHeading3">
    <w:name w:val="Custom Heading 3"/>
    <w:pPr>
      <w:spacing w:after="120"/>
    </w:pPr>
    <w:rPr>
      <w:rFonts w:ascii="Calibri" w:hAnsi="Calibri"/>
      <w:b/>
      <w:color w:val="666666"/>
      <w:sz w:val="22"/>
    </w:rPr>
  </w:style>
  <w:style w:type="paragraph" w:customStyle="1" w:styleId="CodeBlock">
    <w:name w:val="Code Block"/>
    <w:pPr>
      <w:spacing w:after="120"/>
      <w:ind w:left="360"/>
      <w:shd w:fill="F8F8F8"/>
    </w:pPr>
    <w:rPr>
      <w:rFonts w:ascii="Consolas" w:hAnsi="Consolas"/>
      <w:b w:val="0"/>
      <w:sz w:val="18"/>
    </w:rPr>
  </w:style>
  <w:style w:type="character" w:customStyle="1" w:styleId="Highlight">
    <w:name w:val="Highlight"/>
    <w:rPr>
      <w:rFonts w:ascii="Calibri" w:hAnsi="Calibri"/>
      <w:b/>
      <w:color w:val="0066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