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neural trace geometry로 감정축 분리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뉴런 수만 늘리는 것으로는 부족하다는 결론을 얻었다. 이제 남은 질문은 안정화된 trace가 실제 감정 구조를 담고 있는지이다.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trace가 valence, arousal, action tendency 같은 감정축을 공간적으로 분리하는지 확인했다.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geometry 결과에서는 valence가 비교적 잘 분리되었다. 이는 trace 안에 긍정/부정 방향 정보가 어느 정도 들어 있다는 뜻으로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arousal, control_state, action_tendency, episode_family도 group separation에서는 일부 양수 구조를 보였다. 즉 trace가 완전히 무작위인 것은 아니며, 감정 관련 구조 일부를 담고 있다고 해석할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target이나 blame 방향은 아직 약했다. 감정이 누구를 향하는지, 책임을 어디에 두는지 같은 복잡한 축은 현재 trace feature만으로는 안정적으로 분리되지 않았다.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121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1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12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9. 감정축별 NN lift와 group separation 결과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 결과를 통해 trace가 감정 구조 일부를 담는다는 가능성은 확인했다. 특히 valence 쪽은 비교적 설득력이 있었다.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trace 축을 직접 바꾸었을 때 응답의 감정 방향도 바뀌는지 확인해볼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2026.04.03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