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NanumGothic" w:hAnsi="NanumGothic" w:eastAsia="NanumGothic"/>
          <w:b w:val="0"/>
          <w:color w:val="111111"/>
          <w:sz w:val="22"/>
        </w:rPr>
        <w:t>[수행평가 2]  실생활 데이터 기반 수학적 모델링 및 한계점 분석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36"/>
        <w:gridCol w:w="7812"/>
      </w:tblGrid>
      <w:tr>
        <w:tc>
          <w:tcPr>
            <w:tcW w:type="dxa" w:w="5222"/>
            <w:shd w:fill="E4EDF9"/>
            <w:tcBorders>
              <w:top w:val="single" w:sz="6" w:color="353535"/>
              <w:left w:val="single" w:sz="6" w:color="353535"/>
              <w:bottom w:val="single" w:sz="6" w:color="353535"/>
              <w:right w:val="single" w:sz="6" w:color="353535"/>
            </w:tcBorders>
            <w:tcMar>
              <w:top w:w="100" w:type="dxa"/>
              <w:start w:w="160" w:type="dxa"/>
              <w:bottom w:w="100" w:type="dxa"/>
              <w:end w:w="150" w:type="dxa"/>
            </w:tcMar>
            <w:vAlign w:val="center"/>
          </w:tcPr>
          <w:p>
            <w:pPr>
              <w:spacing w:after="0" w:line="324" w:lineRule="auto"/>
            </w:pPr>
            <w:r>
              <w:rPr>
                <w:rFonts w:ascii="NanumGothic" w:hAnsi="NanumGothic" w:eastAsia="NanumGothic"/>
                <w:b/>
                <w:color w:val="202020"/>
                <w:sz w:val="18"/>
              </w:rPr>
              <w:t>학번 / 이름</w:t>
            </w:r>
          </w:p>
        </w:tc>
        <w:tc>
          <w:tcPr>
            <w:tcW w:type="dxa" w:w="5222"/>
            <w:tcBorders>
              <w:top w:val="single" w:sz="6" w:color="353535"/>
              <w:left w:val="single" w:sz="6" w:color="353535"/>
              <w:bottom w:val="single" w:sz="6" w:color="353535"/>
              <w:right w:val="single" w:sz="6" w:color="353535"/>
            </w:tcBorders>
            <w:tcMar>
              <w:top w:w="100" w:type="dxa"/>
              <w:start w:w="160" w:type="dxa"/>
              <w:bottom w:w="100" w:type="dxa"/>
              <w:end w:w="150" w:type="dxa"/>
            </w:tcMar>
            <w:vAlign w:val="center"/>
          </w:tcPr>
          <w:p>
            <w:pPr>
              <w:spacing w:after="0" w:line="324" w:lineRule="auto"/>
            </w:pPr>
            <w:r>
              <w:rPr>
                <w:rFonts w:ascii="NanumGothic" w:hAnsi="NanumGothic" w:eastAsia="NanumGothic"/>
                <w:b w:val="0"/>
                <w:color w:val="202020"/>
                <w:sz w:val="18"/>
              </w:rPr>
              <w:t>2211 / 이은세</w:t>
            </w:r>
          </w:p>
        </w:tc>
      </w:tr>
      <w:tr>
        <w:tc>
          <w:tcPr>
            <w:tcW w:type="dxa" w:w="5222"/>
            <w:shd w:fill="E4EDF9"/>
            <w:tcBorders>
              <w:top w:val="single" w:sz="6" w:color="353535"/>
              <w:left w:val="single" w:sz="6" w:color="353535"/>
              <w:bottom w:val="single" w:sz="6" w:color="353535"/>
              <w:right w:val="single" w:sz="6" w:color="353535"/>
            </w:tcBorders>
            <w:tcMar>
              <w:top w:w="100" w:type="dxa"/>
              <w:start w:w="160" w:type="dxa"/>
              <w:bottom w:w="100" w:type="dxa"/>
              <w:end w:w="150" w:type="dxa"/>
            </w:tcMar>
            <w:vAlign w:val="center"/>
          </w:tcPr>
          <w:p>
            <w:pPr>
              <w:spacing w:after="0" w:line="324" w:lineRule="auto"/>
            </w:pPr>
            <w:r>
              <w:rPr>
                <w:rFonts w:ascii="NanumGothic" w:hAnsi="NanumGothic" w:eastAsia="NanumGothic"/>
                <w:b/>
                <w:color w:val="202020"/>
                <w:sz w:val="18"/>
              </w:rPr>
              <w:t>탐구 주제</w:t>
            </w:r>
          </w:p>
        </w:tc>
        <w:tc>
          <w:tcPr>
            <w:tcW w:type="dxa" w:w="5222"/>
            <w:tcBorders>
              <w:top w:val="single" w:sz="6" w:color="353535"/>
              <w:left w:val="single" w:sz="6" w:color="353535"/>
              <w:bottom w:val="single" w:sz="6" w:color="353535"/>
              <w:right w:val="single" w:sz="6" w:color="353535"/>
            </w:tcBorders>
            <w:tcMar>
              <w:top w:w="100" w:type="dxa"/>
              <w:start w:w="160" w:type="dxa"/>
              <w:bottom w:w="100" w:type="dxa"/>
              <w:end w:w="150" w:type="dxa"/>
            </w:tcMar>
            <w:vAlign w:val="center"/>
          </w:tcPr>
          <w:p>
            <w:pPr>
              <w:spacing w:after="0" w:line="324" w:lineRule="auto"/>
            </w:pPr>
            <w:r>
              <w:rPr>
                <w:rFonts w:ascii="NanumGothic" w:hAnsi="NanumGothic" w:eastAsia="NanumGothic"/>
                <w:b w:val="0"/>
                <w:color w:val="202020"/>
                <w:sz w:val="18"/>
              </w:rPr>
              <w:t>서울시 공공자전거 대여량의 시간적 주기성과 삼각함수 모델의 예측 정확도 비교</w:t>
            </w:r>
          </w:p>
        </w:tc>
      </w:tr>
      <w:tr>
        <w:tc>
          <w:tcPr>
            <w:tcW w:type="dxa" w:w="5222"/>
            <w:shd w:fill="E4EDF9"/>
            <w:tcBorders>
              <w:top w:val="single" w:sz="6" w:color="353535"/>
              <w:left w:val="single" w:sz="6" w:color="353535"/>
              <w:bottom w:val="single" w:sz="6" w:color="353535"/>
              <w:right w:val="single" w:sz="6" w:color="353535"/>
            </w:tcBorders>
            <w:tcMar>
              <w:top w:w="100" w:type="dxa"/>
              <w:start w:w="160" w:type="dxa"/>
              <w:bottom w:w="100" w:type="dxa"/>
              <w:end w:w="150" w:type="dxa"/>
            </w:tcMar>
            <w:vAlign w:val="center"/>
          </w:tcPr>
          <w:p>
            <w:pPr>
              <w:spacing w:after="0" w:line="324" w:lineRule="auto"/>
            </w:pPr>
            <w:r>
              <w:rPr>
                <w:rFonts w:ascii="NanumGothic" w:hAnsi="NanumGothic" w:eastAsia="NanumGothic"/>
                <w:b/>
                <w:color w:val="202020"/>
                <w:sz w:val="18"/>
              </w:rPr>
              <w:t>데이터 출처</w:t>
            </w:r>
            <w:r>
              <w:br/>
            </w:r>
            <w:r>
              <w:rPr>
                <w:rFonts w:ascii="NanumGothic" w:hAnsi="NanumGothic" w:eastAsia="NanumGothic"/>
                <w:b w:val="0"/>
                <w:color w:val="202020"/>
                <w:sz w:val="16"/>
              </w:rPr>
              <w:t>(통계청, 공공데이터포털 등 정확히 기재)</w:t>
            </w:r>
          </w:p>
        </w:tc>
        <w:tc>
          <w:tcPr>
            <w:tcW w:type="dxa" w:w="5222"/>
            <w:tcBorders>
              <w:top w:val="single" w:sz="6" w:color="353535"/>
              <w:left w:val="single" w:sz="6" w:color="353535"/>
              <w:bottom w:val="single" w:sz="6" w:color="353535"/>
              <w:right w:val="single" w:sz="6" w:color="353535"/>
            </w:tcBorders>
            <w:tcMar>
              <w:top w:w="100" w:type="dxa"/>
              <w:start w:w="160" w:type="dxa"/>
              <w:bottom w:w="100" w:type="dxa"/>
              <w:end w:w="150" w:type="dxa"/>
            </w:tcMar>
            <w:vAlign w:val="center"/>
          </w:tcPr>
          <w:p>
            <w:pPr>
              <w:spacing w:after="0" w:line="324" w:lineRule="auto"/>
            </w:pPr>
            <w:r>
              <w:rPr>
                <w:rFonts w:ascii="NanumGothic" w:hAnsi="NanumGothic" w:eastAsia="NanumGothic"/>
                <w:b w:val="0"/>
                <w:color w:val="202020"/>
                <w:sz w:val="18"/>
              </w:rPr>
              <w:t>UCI Machine Learning Repository, Seoul Bike Sharing Demand (2020)</w:t>
            </w:r>
            <w:r>
              <w:br/>
            </w:r>
            <w:r>
              <w:rPr>
                <w:rFonts w:ascii="NanumGothic" w:hAnsi="NanumGothic" w:eastAsia="NanumGothic"/>
                <w:b w:val="0"/>
                <w:color w:val="202020"/>
                <w:sz w:val="16"/>
              </w:rPr>
              <w:t>DOI: 10.24432/C5F62R</w:t>
            </w:r>
            <w:r>
              <w:br/>
            </w:r>
            <w:r>
              <w:rPr>
                <w:rFonts w:ascii="NanumGothic" w:hAnsi="NanumGothic" w:eastAsia="NanumGothic"/>
                <w:b w:val="0"/>
                <w:color w:val="202020"/>
                <w:sz w:val="16"/>
              </w:rPr>
              <w:t>https://archive.ics.uci.edu/dataset/560/seoul+bike+sharing+demand</w:t>
            </w:r>
          </w:p>
        </w:tc>
      </w:tr>
      <w:tr>
        <w:tc>
          <w:tcPr>
            <w:tcW w:type="dxa" w:w="5222"/>
            <w:shd w:fill="E4EDF9"/>
            <w:tcBorders>
              <w:top w:val="single" w:sz="6" w:color="353535"/>
              <w:left w:val="single" w:sz="6" w:color="353535"/>
              <w:bottom w:val="single" w:sz="6" w:color="353535"/>
              <w:right w:val="single" w:sz="6" w:color="353535"/>
            </w:tcBorders>
            <w:tcMar>
              <w:top w:w="100" w:type="dxa"/>
              <w:start w:w="160" w:type="dxa"/>
              <w:bottom w:w="100" w:type="dxa"/>
              <w:end w:w="150" w:type="dxa"/>
            </w:tcMar>
            <w:vAlign w:val="center"/>
          </w:tcPr>
          <w:p>
            <w:pPr>
              <w:spacing w:after="0" w:line="324" w:lineRule="auto"/>
            </w:pPr>
            <w:r>
              <w:rPr>
                <w:rFonts w:ascii="NanumGothic" w:hAnsi="NanumGothic" w:eastAsia="NanumGothic"/>
                <w:b/>
                <w:color w:val="BB1919"/>
                <w:sz w:val="18"/>
              </w:rPr>
              <w:t>데이터 표본 수 (n)</w:t>
            </w:r>
            <w:r>
              <w:br/>
            </w:r>
            <w:r>
              <w:rPr>
                <w:rFonts w:ascii="NanumGothic" w:hAnsi="NanumGothic" w:eastAsia="NanumGothic"/>
                <w:b w:val="0"/>
                <w:color w:val="BB1919"/>
                <w:sz w:val="16"/>
              </w:rPr>
              <w:t>(정량평가: 30개 이상 권장)</w:t>
            </w:r>
          </w:p>
        </w:tc>
        <w:tc>
          <w:tcPr>
            <w:tcW w:type="dxa" w:w="5222"/>
            <w:tcBorders>
              <w:top w:val="single" w:sz="6" w:color="353535"/>
              <w:left w:val="single" w:sz="6" w:color="353535"/>
              <w:bottom w:val="single" w:sz="6" w:color="353535"/>
              <w:right w:val="single" w:sz="6" w:color="353535"/>
            </w:tcBorders>
            <w:tcMar>
              <w:top w:w="100" w:type="dxa"/>
              <w:start w:w="160" w:type="dxa"/>
              <w:bottom w:w="100" w:type="dxa"/>
              <w:end w:w="150" w:type="dxa"/>
            </w:tcMar>
            <w:vAlign w:val="center"/>
          </w:tcPr>
          <w:p>
            <w:pPr>
              <w:spacing w:after="0" w:line="324" w:lineRule="auto"/>
            </w:pPr>
            <w:r>
              <w:rPr>
                <w:rFonts w:ascii="NanumGothic" w:hAnsi="NanumGothic" w:eastAsia="NanumGothic"/>
                <w:b w:val="0"/>
                <w:color w:val="202020"/>
                <w:sz w:val="18"/>
              </w:rPr>
              <w:t>n = 8,760개 (원본)</w:t>
            </w:r>
            <w:r>
              <w:br/>
            </w:r>
            <w:r>
              <w:rPr>
                <w:rFonts w:ascii="NanumGothic" w:hAnsi="NanumGothic" w:eastAsia="NanumGothic"/>
                <w:b w:val="0"/>
                <w:color w:val="202020"/>
                <w:sz w:val="16"/>
              </w:rPr>
              <w:t>실제 분석 n = 8,465개 (서비스 미운영 295개 제외)</w:t>
            </w:r>
          </w:p>
        </w:tc>
      </w:tr>
      <w:tr>
        <w:tc>
          <w:tcPr>
            <w:tcW w:type="dxa" w:w="10448"/>
            <w:gridSpan w:val="2"/>
            <w:shd w:fill="F2F3F5"/>
            <w:tcBorders>
              <w:top w:val="single" w:sz="6" w:color="353535"/>
              <w:left w:val="single" w:sz="6" w:color="353535"/>
              <w:bottom w:val="single" w:sz="6" w:color="353535"/>
              <w:right w:val="single" w:sz="6" w:color="353535"/>
            </w:tcBorders>
            <w:tcMar>
              <w:top w:w="100" w:type="dxa"/>
              <w:start w:w="160" w:type="dxa"/>
              <w:bottom w:w="100" w:type="dxa"/>
              <w:end w:w="150" w:type="dxa"/>
            </w:tcMar>
            <w:vAlign w:val="center"/>
          </w:tcPr>
          <w:p>
            <w:pPr>
              <w:spacing w:after="60"/>
            </w:pPr>
            <w:r>
              <w:rPr>
                <w:rFonts w:ascii="NanumGothic" w:hAnsi="NanumGothic" w:eastAsia="NanumGothic"/>
                <w:b/>
                <w:color w:val="111111"/>
                <w:sz w:val="20"/>
              </w:rPr>
              <w:t>1. 수집한 데이터 정리 및 시각화</w:t>
            </w:r>
          </w:p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5F6977"/>
                <w:sz w:val="16"/>
              </w:rPr>
              <w:t>(표, 그래프 등을 활용하여 데이터의 경향성 파악)</w:t>
            </w:r>
          </w:p>
        </w:tc>
      </w:tr>
      <w:tr>
        <w:tc>
          <w:tcPr>
            <w:tcW w:type="dxa" w:w="10448"/>
            <w:gridSpan w:val="2"/>
            <w:tcBorders>
              <w:top w:val="single" w:sz="6" w:color="353535"/>
              <w:left w:val="single" w:sz="6" w:color="353535"/>
              <w:bottom w:val="single" w:sz="6" w:color="353535"/>
              <w:right w:val="single" w:sz="6" w:color="353535"/>
            </w:tcBorders>
            <w:tcMar>
              <w:top w:w="100" w:type="dxa"/>
              <w:start w:w="160" w:type="dxa"/>
              <w:bottom w:w="100" w:type="dxa"/>
              <w:end w:w="150" w:type="dxa"/>
            </w:tcMar>
            <w:vAlign w:val="center"/>
          </w:tcPr>
          <w:p>
            <w:r>
              <w:t>2017년 12월 1일부터 2018년 11월 30일까지의 서울 공공자전거 시간별 대여 기록을 사용하였다. 원본은 14개 변수와 8,760개 시간별 관측값으로 구성된다. 이 중 서비스 미운영(Functioning Day=No) 295행을 제외한 8,465행을 분석하였다. 날짜를 일/월/년 형식으로 해석하고 결측·중복 및 자료형을 검사하였다. 시간 t(0~23시)를 독립변수, 시간당 대여량 y를 종속변수로 정하였다.</w:t>
            </w:r>
          </w:p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6000" cy="20606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url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000" cy="2060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ReportCaption"/>
            </w:pPr>
            <w:r>
              <w:t>그림 1. 정상 운영 기록에서 계산한 시간대별 평균 대여 건수.</w:t>
            </w:r>
          </w:p>
          <w:tbl>
            <w:tblPr>
              <w:tblStyle w:val="LightShading-Accent1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509"/>
              <w:gridCol w:w="2509"/>
              <w:gridCol w:w="2509"/>
              <w:gridCol w:w="2509"/>
            </w:tblGrid>
            <w:tr>
              <w:tc>
                <w:tcPr>
                  <w:tcW w:type="dxa" w:w="2509"/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NanumSquare" w:hAnsi="NanumSquare" w:eastAsia="NanumSquare"/>
                      <w:sz w:val="16"/>
                    </w:rPr>
                    <w:t>시각</w:t>
                  </w:r>
                </w:p>
              </w:tc>
              <w:tc>
                <w:tcPr>
                  <w:tcW w:type="dxa" w:w="2509"/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NanumSquare" w:hAnsi="NanumSquare" w:eastAsia="NanumSquare"/>
                      <w:sz w:val="16"/>
                    </w:rPr>
                    <w:t>04시</w:t>
                  </w:r>
                </w:p>
              </w:tc>
              <w:tc>
                <w:tcPr>
                  <w:tcW w:type="dxa" w:w="2509"/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NanumSquare" w:hAnsi="NanumSquare" w:eastAsia="NanumSquare"/>
                      <w:sz w:val="16"/>
                    </w:rPr>
                    <w:t>08시</w:t>
                  </w:r>
                </w:p>
              </w:tc>
              <w:tc>
                <w:tcPr>
                  <w:tcW w:type="dxa" w:w="2509"/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NanumSquare" w:hAnsi="NanumSquare" w:eastAsia="NanumSquare"/>
                      <w:sz w:val="16"/>
                    </w:rPr>
                    <w:t>18시</w:t>
                  </w:r>
                </w:p>
              </w:tc>
            </w:tr>
            <w:tr>
              <w:tc>
                <w:tcPr>
                  <w:tcW w:type="dxa" w:w="2509"/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NanumSquare" w:hAnsi="NanumSquare" w:eastAsia="NanumSquare"/>
                      <w:sz w:val="16"/>
                    </w:rPr>
                    <w:t>평균 대여량(건)</w:t>
                  </w:r>
                </w:p>
              </w:tc>
              <w:tc>
                <w:tcPr>
                  <w:tcW w:type="dxa" w:w="2509"/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NanumSquare" w:hAnsi="NanumSquare" w:eastAsia="NanumSquare"/>
                      <w:sz w:val="16"/>
                    </w:rPr>
                    <w:t>137.5</w:t>
                  </w:r>
                </w:p>
              </w:tc>
              <w:tc>
                <w:tcPr>
                  <w:tcW w:type="dxa" w:w="2509"/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NanumSquare" w:hAnsi="NanumSquare" w:eastAsia="NanumSquare"/>
                      <w:sz w:val="16"/>
                    </w:rPr>
                    <w:t>1,050.2</w:t>
                  </w:r>
                </w:p>
              </w:tc>
              <w:tc>
                <w:tcPr>
                  <w:tcW w:type="dxa" w:w="2509"/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NanumSquare" w:hAnsi="NanumSquare" w:eastAsia="NanumSquare"/>
                      <w:sz w:val="16"/>
                    </w:rPr>
                    <w:t>1,554.0</w:t>
                  </w:r>
                </w:p>
              </w:tc>
            </w:tr>
          </w:tbl>
          <w:p>
            <w:pPr>
              <w:spacing w:after="0"/>
            </w:pPr>
          </w:p>
          <w:p>
            <w:r>
              <w:t>새벽 4시에는 약 137.5건이지만 오전 8시와 오후 6시에는 각각 약 1,050.2건, 1,554.0건으로 증가한다. 하루에 두 개의 상승 구간이 있으므로 24시간 단일 주기함수보다 12시간 성분을 추가했을 때 예측 오차가 감소하는지 검증하였다.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36"/>
        <w:gridCol w:w="7812"/>
      </w:tblGrid>
      <w:tr>
        <w:tc>
          <w:tcPr>
            <w:tcW w:type="dxa" w:w="10448"/>
            <w:gridSpan w:val="2"/>
            <w:shd w:fill="F2F3F5"/>
            <w:tcBorders>
              <w:top w:val="single" w:sz="6" w:color="353535"/>
              <w:left w:val="single" w:sz="6" w:color="353535"/>
              <w:bottom w:val="single" w:sz="6" w:color="353535"/>
              <w:right w:val="single" w:sz="6" w:color="353535"/>
            </w:tcBorders>
            <w:tcMar>
              <w:top w:w="100" w:type="dxa"/>
              <w:start w:w="160" w:type="dxa"/>
              <w:bottom w:w="100" w:type="dxa"/>
              <w:end w:w="150" w:type="dxa"/>
            </w:tcMar>
            <w:vAlign w:val="center"/>
          </w:tcPr>
          <w:p>
            <w:pPr>
              <w:spacing w:after="60"/>
            </w:pPr>
            <w:r>
              <w:rPr>
                <w:rFonts w:ascii="NanumGothic" w:hAnsi="NanumGothic" w:eastAsia="NanumGothic"/>
                <w:b/>
                <w:color w:val="111111"/>
                <w:sz w:val="20"/>
              </w:rPr>
              <w:t>2. 수학적 모델링 및 예측값 도출</w:t>
            </w:r>
          </w:p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5F6977"/>
                <w:sz w:val="16"/>
              </w:rPr>
              <w:t>(함수식 또는 통계 모델 수립 과정 및 이를 통한 결과 예측)</w:t>
            </w:r>
          </w:p>
        </w:tc>
      </w:tr>
      <w:tr>
        <w:tc>
          <w:tcPr>
            <w:tcW w:type="dxa" w:w="10448"/>
            <w:gridSpan w:val="2"/>
            <w:tcBorders>
              <w:top w:val="single" w:sz="6" w:color="353535"/>
              <w:left w:val="single" w:sz="6" w:color="353535"/>
              <w:bottom w:val="single" w:sz="6" w:color="353535"/>
              <w:right w:val="single" w:sz="6" w:color="353535"/>
            </w:tcBorders>
            <w:tcMar>
              <w:top w:w="100" w:type="dxa"/>
              <w:start w:w="160" w:type="dxa"/>
              <w:bottom w:w="100" w:type="dxa"/>
              <w:end w:w="150" w:type="dxa"/>
            </w:tcMar>
            <w:vAlign w:val="center"/>
          </w:tcPr>
          <w:p>
            <w:r>
              <w:t>같은 날짜의 기록이 서로 다른 집합에 중복되지 않도록 날짜 단위로 나누고 계절과 주말 여부의 비율을 고려하였다. 학습 243일(5,832행), 검증 47일(1,121행), 테스트 63일(1,512행)이며, 계수 추정에는 학습 자료만 사용하였다.</w:t>
            </w:r>
          </w:p>
          <w:p>
            <w:pPr>
              <w:pStyle w:val="Heading2"/>
            </w:pPr>
            <w:r>
              <w:t>① 모델 1: 24시간 주기</w:t>
            </w:r>
          </w:p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44000" cy="44916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4000" cy="4491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2"/>
            </w:pPr>
            <w:r>
              <w:t>② 모델 2: 24시간과 12시간 주기</w:t>
            </w:r>
          </w:p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44000" cy="42552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4000" cy="4255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12시간 주기의 사인·코사인항을 추가해 하루 두 번 증가하는 현상을 나타낸다. 삼각함수는 시간 t에 관해서는 비선형이지만 추정 계수에 관해서는 선형이다.</w:t>
            </w:r>
          </w:p>
          <w:p>
            <w:pPr>
              <w:pStyle w:val="Heading2"/>
            </w:pPr>
            <w:r>
              <w:t>③ 모델 3: 주중·주말을 구분</w:t>
            </w:r>
          </w:p>
          <w:p>
            <w:r>
              <w:t>주중 w=0, 주말 w=1로 놓고 모델 2에 w·g(t)를 더했다. g(t)는 상수항과 24시간 및 12시간 사인·코사인 항을 포함하므로 주중·주말의 서로 다른 파형을 표현한다.</w:t>
            </w:r>
          </w:p>
          <w:p>
            <w:pPr>
              <w:pStyle w:val="Heading2"/>
            </w:pPr>
            <w:r>
              <w:t>④ 최소제곱법과 실제 추정 계수</w:t>
            </w:r>
          </w:p>
          <w:p>
            <w:r>
              <w:t>각 t에서 계산한 사인·코사인값을 행렬 X의 한 행으로 놓아 예측값을 Xβ로 나타냈다. 잔차제곱합을 최소화하는 계수를 구하며 정규방정식 XᵀXβ=Xᵀy를 이용해 이론적 과정을 설명할 수 있다. 실제 계산에는 수치적으로 안정적인 numpy.linalg.lstsq를 사용했다.</w:t>
            </w:r>
          </w:p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68000" cy="69726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as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000" cy="6972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LightShading-Accent1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673"/>
              <w:gridCol w:w="1673"/>
              <w:gridCol w:w="1673"/>
              <w:gridCol w:w="1673"/>
              <w:gridCol w:w="1673"/>
              <w:gridCol w:w="1673"/>
            </w:tblGrid>
            <w:tr>
              <w:tc>
                <w:tcPr>
                  <w:tcW w:type="dxa" w:w="1673"/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NanumSquare" w:hAnsi="NanumSquare" w:eastAsia="NanumSquare"/>
                      <w:sz w:val="16"/>
                    </w:rPr>
                    <w:t>모델 2 계수</w:t>
                  </w:r>
                </w:p>
              </w:tc>
              <w:tc>
                <w:tcPr>
                  <w:tcW w:type="dxa" w:w="1673"/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NanumSquare" w:hAnsi="NanumSquare" w:eastAsia="NanumSquare"/>
                      <w:sz w:val="16"/>
                    </w:rPr>
                    <w:t>a₀</w:t>
                  </w:r>
                </w:p>
              </w:tc>
              <w:tc>
                <w:tcPr>
                  <w:tcW w:type="dxa" w:w="1673"/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NanumSquare" w:hAnsi="NanumSquare" w:eastAsia="NanumSquare"/>
                      <w:sz w:val="16"/>
                    </w:rPr>
                    <w:t>a₁</w:t>
                  </w:r>
                </w:p>
              </w:tc>
              <w:tc>
                <w:tcPr>
                  <w:tcW w:type="dxa" w:w="1673"/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NanumSquare" w:hAnsi="NanumSquare" w:eastAsia="NanumSquare"/>
                      <w:sz w:val="16"/>
                    </w:rPr>
                    <w:t>b₁</w:t>
                  </w:r>
                </w:p>
              </w:tc>
              <w:tc>
                <w:tcPr>
                  <w:tcW w:type="dxa" w:w="1673"/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NanumSquare" w:hAnsi="NanumSquare" w:eastAsia="NanumSquare"/>
                      <w:sz w:val="16"/>
                    </w:rPr>
                    <w:t>a₂</w:t>
                  </w:r>
                </w:p>
              </w:tc>
              <w:tc>
                <w:tcPr>
                  <w:tcW w:type="dxa" w:w="1673"/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NanumSquare" w:hAnsi="NanumSquare" w:eastAsia="NanumSquare"/>
                      <w:sz w:val="16"/>
                    </w:rPr>
                    <w:t>b₂</w:t>
                  </w:r>
                </w:p>
              </w:tc>
            </w:tr>
            <w:tr>
              <w:tc>
                <w:tcPr>
                  <w:tcW w:type="dxa" w:w="1673"/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NanumSquare" w:hAnsi="NanumSquare" w:eastAsia="NanumSquare"/>
                      <w:sz w:val="16"/>
                    </w:rPr>
                    <w:t>추정값</w:t>
                  </w:r>
                </w:p>
              </w:tc>
              <w:tc>
                <w:tcPr>
                  <w:tcW w:type="dxa" w:w="1673"/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NanumSquare" w:hAnsi="NanumSquare" w:eastAsia="NanumSquare"/>
                      <w:sz w:val="16"/>
                    </w:rPr>
                    <w:t>722.781</w:t>
                  </w:r>
                </w:p>
              </w:tc>
              <w:tc>
                <w:tcPr>
                  <w:tcW w:type="dxa" w:w="1673"/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NanumSquare" w:hAnsi="NanumSquare" w:eastAsia="NanumSquare"/>
                      <w:sz w:val="16"/>
                    </w:rPr>
                    <w:t>-403.395</w:t>
                  </w:r>
                </w:p>
              </w:tc>
              <w:tc>
                <w:tcPr>
                  <w:tcW w:type="dxa" w:w="1673"/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NanumSquare" w:hAnsi="NanumSquare" w:eastAsia="NanumSquare"/>
                      <w:sz w:val="16"/>
                    </w:rPr>
                    <w:t>-91.721</w:t>
                  </w:r>
                </w:p>
              </w:tc>
              <w:tc>
                <w:tcPr>
                  <w:tcW w:type="dxa" w:w="1673"/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NanumSquare" w:hAnsi="NanumSquare" w:eastAsia="NanumSquare"/>
                      <w:sz w:val="16"/>
                    </w:rPr>
                    <w:t>-183.426</w:t>
                  </w:r>
                </w:p>
              </w:tc>
              <w:tc>
                <w:tcPr>
                  <w:tcW w:type="dxa" w:w="1673"/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NanumSquare" w:hAnsi="NanumSquare" w:eastAsia="NanumSquare"/>
                      <w:sz w:val="16"/>
                    </w:rPr>
                    <w:t>-116.934</w:t>
                  </w:r>
                </w:p>
              </w:tc>
            </w:tr>
          </w:tbl>
          <w:p>
            <w:pPr>
              <w:spacing w:after="0"/>
            </w:pPr>
          </w:p>
          <w:p>
            <w:r>
              <w:t>모델 2 추정식은 ŷ₂(t)=722.781−403.395sin(2πt/24)−91.721cos(2πt/24)−183.426sin(4πt/24)−116.934cos(4πt/24)이다. 24시간 성분 진폭은 약 413.69, 12시간 성분 진폭은 약 217.53이고, 진폭비는 약 0.526이다.</w:t>
            </w:r>
          </w:p>
          <w:p>
            <w:pPr>
              <w:pStyle w:val="Heading2"/>
            </w:pPr>
            <w:r>
              <w:t>⑤ 예측값 대입 계산</w:t>
            </w:r>
          </w:p>
          <w:p>
            <w:r>
              <w:t>미학습 테스트 날짜인 2017년 12월 2일 08시에 실제 대여량은 219건이었다. 모델 2에 t=8을 대입하면 636.609건으로 예측되며 절대오차는 |219−636.609|=417.609건이다. 같은 시각 모델 1은 419.291건(오차 200.291건), 모델 3은 347.717건(오차 128.717건)을 예측했다.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36"/>
        <w:gridCol w:w="7812"/>
      </w:tblGrid>
      <w:tr>
        <w:tc>
          <w:tcPr>
            <w:tcW w:type="dxa" w:w="10448"/>
            <w:gridSpan w:val="2"/>
            <w:shd w:fill="F2F3F5"/>
            <w:tcBorders>
              <w:top w:val="single" w:sz="6" w:color="353535"/>
              <w:left w:val="single" w:sz="6" w:color="353535"/>
              <w:bottom w:val="single" w:sz="6" w:color="353535"/>
              <w:right w:val="single" w:sz="6" w:color="353535"/>
            </w:tcBorders>
            <w:tcMar>
              <w:top w:w="100" w:type="dxa"/>
              <w:start w:w="160" w:type="dxa"/>
              <w:bottom w:w="100" w:type="dxa"/>
              <w:end w:w="150" w:type="dxa"/>
            </w:tcMar>
            <w:vAlign w:val="center"/>
          </w:tcPr>
          <w:p>
            <w:pPr>
              <w:spacing w:after="60"/>
            </w:pPr>
            <w:r>
              <w:rPr>
                <w:rFonts w:ascii="NanumGothic" w:hAnsi="NanumGothic" w:eastAsia="NanumGothic"/>
                <w:b/>
                <w:color w:val="111111"/>
                <w:sz w:val="20"/>
              </w:rPr>
              <w:t>3. 오차 분석, 모델 한계점 및 개선 방안</w:t>
            </w:r>
          </w:p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5F6977"/>
                <w:sz w:val="16"/>
              </w:rPr>
              <w:t>(실제 데이터와 예측값의 오차 수식 계산 및 원인 분석, 모델의 한계점 비판 및 구체적인 수학적 개선 대안 제시)</w:t>
            </w:r>
          </w:p>
        </w:tc>
      </w:tr>
      <w:tr>
        <w:tc>
          <w:tcPr>
            <w:tcW w:type="dxa" w:w="10448"/>
            <w:gridSpan w:val="2"/>
            <w:tcBorders>
              <w:top w:val="single" w:sz="6" w:color="353535"/>
              <w:left w:val="single" w:sz="6" w:color="353535"/>
              <w:bottom w:val="single" w:sz="6" w:color="353535"/>
              <w:right w:val="single" w:sz="6" w:color="353535"/>
            </w:tcBorders>
            <w:tcMar>
              <w:top w:w="100" w:type="dxa"/>
              <w:start w:w="160" w:type="dxa"/>
              <w:bottom w:w="100" w:type="dxa"/>
              <w:end w:w="150" w:type="dxa"/>
            </w:tcMar>
            <w:vAlign w:val="center"/>
          </w:tcPr>
          <w:p>
            <w:r>
              <w:t>평균적인 오차는 MAE(평균절대오차), 큰 오차에 민감한 지표는 RMSE(평균제곱근오차), 전체 변동의 설명 정도는 결정계수 R²로 비교하였다. 모델을 평가할 때는 학습에 사용하지 않은 1,512개 관측값만 사용하였다.</w:t>
            </w:r>
          </w:p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92000" cy="82332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rro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000" cy="8233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LightShading-Accent1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509"/>
              <w:gridCol w:w="2509"/>
              <w:gridCol w:w="2509"/>
              <w:gridCol w:w="2509"/>
            </w:tblGrid>
            <w:tr>
              <w:tc>
                <w:tcPr>
                  <w:tcW w:type="dxa" w:w="2509"/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NanumSquare" w:hAnsi="NanumSquare" w:eastAsia="NanumSquare"/>
                      <w:sz w:val="16"/>
                    </w:rPr>
                    <w:t>모델</w:t>
                  </w:r>
                </w:p>
              </w:tc>
              <w:tc>
                <w:tcPr>
                  <w:tcW w:type="dxa" w:w="2509"/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NanumSquare" w:hAnsi="NanumSquare" w:eastAsia="NanumSquare"/>
                      <w:sz w:val="16"/>
                    </w:rPr>
                    <w:t>테스트 MAE</w:t>
                  </w:r>
                </w:p>
              </w:tc>
              <w:tc>
                <w:tcPr>
                  <w:tcW w:type="dxa" w:w="2509"/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NanumSquare" w:hAnsi="NanumSquare" w:eastAsia="NanumSquare"/>
                      <w:sz w:val="16"/>
                    </w:rPr>
                    <w:t>테스트 RMSE</w:t>
                  </w:r>
                </w:p>
              </w:tc>
              <w:tc>
                <w:tcPr>
                  <w:tcW w:type="dxa" w:w="2509"/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NanumSquare" w:hAnsi="NanumSquare" w:eastAsia="NanumSquare"/>
                      <w:sz w:val="16"/>
                    </w:rPr>
                    <w:t>R²</w:t>
                  </w:r>
                </w:p>
              </w:tc>
            </w:tr>
            <w:tr>
              <w:tc>
                <w:tcPr>
                  <w:tcW w:type="dxa" w:w="2509"/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NanumSquare" w:hAnsi="NanumSquare" w:eastAsia="NanumSquare"/>
                      <w:sz w:val="16"/>
                    </w:rPr>
                    <w:t>평균만 예측</w:t>
                  </w:r>
                </w:p>
              </w:tc>
              <w:tc>
                <w:tcPr>
                  <w:tcW w:type="dxa" w:w="2509"/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NanumSquare" w:hAnsi="NanumSquare" w:eastAsia="NanumSquare"/>
                      <w:sz w:val="16"/>
                    </w:rPr>
                    <w:t>508.296</w:t>
                  </w:r>
                </w:p>
              </w:tc>
              <w:tc>
                <w:tcPr>
                  <w:tcW w:type="dxa" w:w="2509"/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NanumSquare" w:hAnsi="NanumSquare" w:eastAsia="NanumSquare"/>
                      <w:sz w:val="16"/>
                    </w:rPr>
                    <w:t>633.756</w:t>
                  </w:r>
                </w:p>
              </w:tc>
              <w:tc>
                <w:tcPr>
                  <w:tcW w:type="dxa" w:w="2509"/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NanumSquare" w:hAnsi="NanumSquare" w:eastAsia="NanumSquare"/>
                      <w:sz w:val="16"/>
                    </w:rPr>
                    <w:t>-0.0003</w:t>
                  </w:r>
                </w:p>
              </w:tc>
            </w:tr>
            <w:tr>
              <w:tc>
                <w:tcPr>
                  <w:tcW w:type="dxa" w:w="2509"/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NanumSquare" w:hAnsi="NanumSquare" w:eastAsia="NanumSquare"/>
                      <w:sz w:val="16"/>
                    </w:rPr>
                    <w:t>M1 · 24시간</w:t>
                  </w:r>
                </w:p>
              </w:tc>
              <w:tc>
                <w:tcPr>
                  <w:tcW w:type="dxa" w:w="2509"/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NanumSquare" w:hAnsi="NanumSquare" w:eastAsia="NanumSquare"/>
                      <w:sz w:val="16"/>
                    </w:rPr>
                    <w:t>430.716</w:t>
                  </w:r>
                </w:p>
              </w:tc>
              <w:tc>
                <w:tcPr>
                  <w:tcW w:type="dxa" w:w="2509"/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NanumSquare" w:hAnsi="NanumSquare" w:eastAsia="NanumSquare"/>
                      <w:sz w:val="16"/>
                    </w:rPr>
                    <w:t>565.230</w:t>
                  </w:r>
                </w:p>
              </w:tc>
              <w:tc>
                <w:tcPr>
                  <w:tcW w:type="dxa" w:w="2509"/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NanumSquare" w:hAnsi="NanumSquare" w:eastAsia="NanumSquare"/>
                      <w:sz w:val="16"/>
                    </w:rPr>
                    <w:t>0.2044</w:t>
                  </w:r>
                </w:p>
              </w:tc>
            </w:tr>
            <w:tr>
              <w:tc>
                <w:tcPr>
                  <w:tcW w:type="dxa" w:w="2509"/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NanumSquare" w:hAnsi="NanumSquare" w:eastAsia="NanumSquare"/>
                      <w:sz w:val="16"/>
                    </w:rPr>
                    <w:t>M2 · 24+12시간</w:t>
                  </w:r>
                </w:p>
              </w:tc>
              <w:tc>
                <w:tcPr>
                  <w:tcW w:type="dxa" w:w="2509"/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NanumSquare" w:hAnsi="NanumSquare" w:eastAsia="NanumSquare"/>
                      <w:sz w:val="16"/>
                    </w:rPr>
                    <w:t>414.978</w:t>
                  </w:r>
                </w:p>
              </w:tc>
              <w:tc>
                <w:tcPr>
                  <w:tcW w:type="dxa" w:w="2509"/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NanumSquare" w:hAnsi="NanumSquare" w:eastAsia="NanumSquare"/>
                      <w:sz w:val="16"/>
                    </w:rPr>
                    <w:t>541.564</w:t>
                  </w:r>
                </w:p>
              </w:tc>
              <w:tc>
                <w:tcPr>
                  <w:tcW w:type="dxa" w:w="2509"/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NanumSquare" w:hAnsi="NanumSquare" w:eastAsia="NanumSquare"/>
                      <w:sz w:val="16"/>
                    </w:rPr>
                    <w:t>0.2696</w:t>
                  </w:r>
                </w:p>
              </w:tc>
            </w:tr>
            <w:tr>
              <w:tc>
                <w:tcPr>
                  <w:tcW w:type="dxa" w:w="2509"/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NanumSquare" w:hAnsi="NanumSquare" w:eastAsia="NanumSquare"/>
                      <w:sz w:val="16"/>
                    </w:rPr>
                    <w:t>M3 · 주중·주말</w:t>
                  </w:r>
                </w:p>
              </w:tc>
              <w:tc>
                <w:tcPr>
                  <w:tcW w:type="dxa" w:w="2509"/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NanumSquare" w:hAnsi="NanumSquare" w:eastAsia="NanumSquare"/>
                      <w:sz w:val="16"/>
                    </w:rPr>
                    <w:t>405.584</w:t>
                  </w:r>
                </w:p>
              </w:tc>
              <w:tc>
                <w:tcPr>
                  <w:tcW w:type="dxa" w:w="2509"/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NanumSquare" w:hAnsi="NanumSquare" w:eastAsia="NanumSquare"/>
                      <w:sz w:val="16"/>
                    </w:rPr>
                    <w:t>528.761</w:t>
                  </w:r>
                </w:p>
              </w:tc>
              <w:tc>
                <w:tcPr>
                  <w:tcW w:type="dxa" w:w="2509"/>
                  <w:vAlign w:val="center"/>
                </w:tcPr>
                <w:p>
                  <w:pPr>
                    <w:spacing w:after="40" w:before="40"/>
                  </w:pPr>
                  <w:r>
                    <w:rPr>
                      <w:rFonts w:ascii="NanumSquare" w:hAnsi="NanumSquare" w:eastAsia="NanumSquare"/>
                      <w:sz w:val="16"/>
                    </w:rPr>
                    <w:t>0.3037</w:t>
                  </w:r>
                </w:p>
              </w:tc>
            </w:tr>
          </w:tbl>
          <w:p>
            <w:pPr>
              <w:spacing w:after="0"/>
            </w:pPr>
          </w:p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6000" cy="206069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rror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000" cy="2060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ReportCaption"/>
            </w:pPr>
            <w:r>
              <w:t>그림 2. 테스트 데이터의 모델별 MAE와 RMSE 비교(단위: 건/시간).</w:t>
            </w:r>
          </w:p>
          <w:p>
            <w:r>
              <w:t>M1에서 M2로 확장하자 MAE는 (430.716−414.978)/430.716×100=3.65% 감소했다. M3에서는 MAE가 405.584건/시간으로 더 줄었다. 다만 R²는 약 0.304에 불과해 일주기 요인만으로는 대여량의 대부분을 설명할 수 없다.</w:t>
            </w:r>
          </w:p>
          <w:p>
            <w:pPr>
              <w:pStyle w:val="Heading2"/>
            </w:pPr>
            <w:r>
              <w:t>한계와 오차 발생 원인</w:t>
            </w:r>
          </w:p>
          <w:p>
            <w:r>
              <w:t>같은 시각이라도 강수·기온·계절·공휴일에 따라 대여량이 달라지지만 이번 모델은 이를 설명변수로 넣지 않았다. 2017년 12월 2일 18시 실제 대여량은 489건인 반면 모델 2 예측값은 1,243.109건으로, 절대오차는 754.109건이었다.</w:t>
            </w:r>
          </w:p>
          <w:p>
            <w:pPr>
              <w:pStyle w:val="Heading2"/>
            </w:pPr>
            <w:r>
              <w:t>구체적인 수학적 개선 방안</w:t>
            </w:r>
          </w:p>
          <w:p>
            <w:r>
              <w:t>첫째, 강수량 R·기온 T·공휴일 H를 추가하여 ŷ=f(t,w)+γ₁R+γ₂T+γ₃H 형태의 다중회귀를 적용한다. 둘째, 계절 더미변수와 사인·코사인 항의 상호작용을 추가하여 계절별 진폭·위상 차이를 표현한다. 셋째, 과적합을 막기 위해 릿지회귀 min(||Xβ−y||²+λ||β||²)를 검토하고 λ를 검증 데이터에서 선택한다.</w:t>
            </w:r>
          </w:p>
          <w:p>
            <w:r>
              <w:t>자료의 시간 구간이 1년뿐이므로 이 결과는 그 기간 안의 다른 날짜에 대한 예측 성능이지 다음 연도의 미래 예측 성능이 아니다. 또한 최소제곱 회귀는 음수 대여량을 예측할 수 있으므로 실제 수요 예측 서비스에는 추가 제약이 필요하다.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36"/>
        <w:gridCol w:w="7812"/>
      </w:tblGrid>
      <w:tr>
        <w:tc>
          <w:tcPr>
            <w:tcW w:type="dxa" w:w="10448"/>
            <w:gridSpan w:val="2"/>
            <w:shd w:fill="F2F3F5"/>
            <w:tcBorders>
              <w:top w:val="single" w:sz="6" w:color="353535"/>
              <w:left w:val="single" w:sz="6" w:color="353535"/>
              <w:bottom w:val="single" w:sz="6" w:color="353535"/>
              <w:right w:val="single" w:sz="6" w:color="353535"/>
            </w:tcBorders>
            <w:tcMar>
              <w:top w:w="100" w:type="dxa"/>
              <w:start w:w="160" w:type="dxa"/>
              <w:bottom w:w="100" w:type="dxa"/>
              <w:end w:w="150" w:type="dxa"/>
            </w:tcMar>
            <w:vAlign w:val="center"/>
          </w:tcPr>
          <w:p>
            <w:pPr>
              <w:spacing w:after="60"/>
            </w:pPr>
            <w:r>
              <w:rPr>
                <w:rFonts w:ascii="NanumGothic" w:hAnsi="NanumGothic" w:eastAsia="NanumGothic"/>
                <w:b/>
                <w:color w:val="111111"/>
                <w:sz w:val="20"/>
              </w:rPr>
              <w:t>4. 탐구 성찰 (자기 평가)</w:t>
            </w:r>
          </w:p>
          <w:p>
            <w:pPr>
              <w:spacing w:after="0"/>
            </w:pPr>
            <w:r>
              <w:rPr>
                <w:rFonts w:ascii="NanumGothic" w:hAnsi="NanumGothic" w:eastAsia="NanumGothic"/>
                <w:b w:val="0"/>
                <w:color w:val="5F6977"/>
                <w:sz w:val="16"/>
              </w:rPr>
              <w:t>(탐구 과정과 결과에 대한 반성, 자신의 비판적 사고 과정 점검 및 보완점)</w:t>
            </w:r>
          </w:p>
        </w:tc>
      </w:tr>
      <w:tr>
        <w:tc>
          <w:tcPr>
            <w:tcW w:type="dxa" w:w="10448"/>
            <w:gridSpan w:val="2"/>
            <w:tcBorders>
              <w:top w:val="single" w:sz="6" w:color="353535"/>
              <w:left w:val="single" w:sz="6" w:color="353535"/>
              <w:bottom w:val="single" w:sz="6" w:color="353535"/>
              <w:right w:val="single" w:sz="6" w:color="353535"/>
            </w:tcBorders>
            <w:tcMar>
              <w:top w:w="100" w:type="dxa"/>
              <w:start w:w="160" w:type="dxa"/>
              <w:bottom w:w="100" w:type="dxa"/>
              <w:end w:w="150" w:type="dxa"/>
            </w:tcMar>
            <w:vAlign w:val="center"/>
          </w:tcPr>
          <w:p>
            <w:r>
              <w:t>처음에는 시간별 대여량을 24시간 주기 하나로 표현할 수 있을 것으로 예상했다. 그러나 실제 시간대별 평균에서 오전 8시와 오후 6시에 서로 다른 대여량 증가 구간이 관측되어 12시간 성분이 필요할 수 있다는 가설을 세웠다. 두 조화 성분을 가진 모델을 학습·테스트 데이터에 적용한 결과 MAE가 약 3.65% 감소했다. 단순히 그래프가 비슷해 보이는 것을 넘어서 실제 예측값과 수치 지표를 비교하는 것이 중요함을 확인했다.</w:t>
            </w:r>
          </w:p>
          <w:p>
            <w:r>
              <w:t>동시에 모델이 복잡해졌다고 모든 날짜에서 정확해지는 것은 아니었다. 2017년 12월 2일 08시에는 모델 2가 모델 1보다 더 크게 틀렸다. 개별 예시와 전체 테스트 평균을 구분하고, 같은 날짜의 관측값이 학습과 테스트에 중복되지 않도록 분할해야 한다는 점을 검토했다.</w:t>
            </w:r>
          </w:p>
          <w:p>
            <w:r>
              <w:t>수학적으로는 삼각함수를 사용한 함수도 계수에 관해서는 선형이므로 선형대수의 최소제곱법으로 해를 구할 수 있다는 점을 이해했다. 최종 모델의 R²가 약 0.304로 낮은 사실은 주기성만으로 복잡한 현실의 대여량을 충분히 설명하지 못한다는 한계를 드러낸다. 후속 탐구에서는 기상 조건과 계절을 함께 설명변수로 사용한 뒤 같은 평가 조건에서 오차가 실제로 줄어드는지 확인하고자 한다.</w:t>
            </w:r>
          </w:p>
          <w:p>
            <w:pPr>
              <w:pStyle w:val="Heading2"/>
            </w:pPr>
            <w:r>
              <w:t>자료 출처와 재현 정보</w:t>
            </w:r>
          </w:p>
          <w:p>
            <w:r>
              <w:t>UCI Machine Learning Repository. (2020). Seoul Bike Sharing Demand [Dataset]. https://doi.org/10.24432/C5F62R (CC BY 4.0).</w:t>
            </w:r>
          </w:p>
          <w:p>
            <w:r>
              <w:t>분석 코드와 원자료: https://github.com/aether0xff-afk/LinearAlgebra_Seoul_bike</w:t>
            </w:r>
          </w:p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24000" cy="197379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ample_day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000" cy="1973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ReportCaption"/>
            </w:pPr>
            <w:r>
              <w:t>그림 3. 테스트 날짜의 실제 시간별 대여량과 모델별 예측 곡선.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539" w:right="731" w:bottom="578" w:left="731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80"/>
    </w:pPr>
    <w:rPr>
      <w:rFonts w:ascii="NanumSquare" w:hAnsi="NanumSquare" w:eastAsia="NanumSquare"/>
      <w:color w:val="21303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732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1732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7324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Caption">
    <w:name w:val="ReportCaption"/>
    <w:rPr>
      <w:rFonts w:ascii="NanumSquare" w:hAnsi="NanumSquare" w:eastAsia="NanumSquare"/>
      <w:color w:val="5E708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