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Quarterly Allocation Memo</w:t>
      </w:r>
    </w:p>
    <w:p>
      <w:r>
        <w:t>The reserve target is 18 percent of the operating budget.</w:t>
      </w:r>
    </w:p>
    <w:p>
      <w:r>
        <w:t>The approved allocation identifier is ALPHA-27.</w:t>
      </w:r>
    </w:p>
    <w:p>
      <w:r>
        <w:t>Do not confuse this target with the archived 12 percent proposal.</w:t>
      </w:r>
    </w:p>
    <w:sectPr/>
  </w:body>
</w:document>
</file>