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1F3340"/>
          <w:sz w:val="46"/>
        </w:rPr>
        <w:t>Counsel Legal-Structure Review and Concurrence</w:t>
      </w:r>
    </w:p>
    <w:p>
      <w:pPr>
        <w:pStyle w:val="Subtitle"/>
      </w:pPr>
      <w:r>
        <w:rPr>
          <w:rFonts w:ascii="Calibri" w:hAnsi="Calibri"/>
          <w:b w:val="0"/>
          <w:i w:val="0"/>
          <w:color w:val="5C6670"/>
          <w:sz w:val="26"/>
        </w:rPr>
        <w:t>QueryClear commercial activity operated under SparkCreatives Inc.</w:t>
      </w:r>
    </w:p>
    <w:tbl>
      <w:tblPr>
        <w:tblStyle w:val="TableGrid"/>
        <w:tblW w:type="dxa" w:w="9360"/>
        <w:jc w:val="left"/>
        <w:tblLayout w:type="fixed"/>
        <w:tblLook w:firstColumn="1" w:firstRow="1" w:lastColumn="0" w:lastRow="0" w:noHBand="0" w:noVBand="1" w:val="04A0"/>
        <w:tblInd w:w="120" w:type="dxa"/>
      </w:tblPr>
      <w:tblGrid>
        <w:gridCol w:w="2160"/>
        <w:gridCol w:w="7200"/>
      </w:tblGrid>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Entity</w:t>
            </w:r>
          </w:p>
        </w:tc>
        <w:tc>
          <w:tcPr>
            <w:tcW w:type="dxa" w:w="7200"/>
            <w:tcMar>
              <w:top w:w="100" w:type="dxa"/>
              <w:start w:w="120" w:type="dxa"/>
              <w:bottom w:w="100" w:type="dxa"/>
              <w:end w:w="120" w:type="dxa"/>
            </w:tcMar>
            <w:vAlign w:val="center"/>
          </w:tcPr>
          <w:p>
            <w:r>
              <w:rPr>
                <w:rFonts w:ascii="Calibri" w:hAnsi="Calibri"/>
                <w:b w:val="0"/>
                <w:i w:val="0"/>
                <w:color w:val="1F3340"/>
                <w:sz w:val="22"/>
              </w:rPr>
              <w:t>SparkCreatives Inc., Florida not-for-profit corporation (N25000003997)</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Brand/activity</w:t>
            </w:r>
          </w:p>
        </w:tc>
        <w:tc>
          <w:tcPr>
            <w:tcW w:type="dxa" w:w="7200"/>
            <w:tcMar>
              <w:top w:w="100" w:type="dxa"/>
              <w:start w:w="120" w:type="dxa"/>
              <w:bottom w:w="100" w:type="dxa"/>
              <w:end w:w="120" w:type="dxa"/>
            </w:tcMar>
            <w:vAlign w:val="center"/>
          </w:tcPr>
          <w:p>
            <w:r>
              <w:rPr>
                <w:rFonts w:ascii="Calibri" w:hAnsi="Calibri"/>
                <w:b w:val="0"/>
                <w:i w:val="0"/>
                <w:color w:val="1F3340"/>
                <w:sz w:val="22"/>
              </w:rPr>
              <w:t>QueryClear — commercial website, SEO, and AI-search-readiness services</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Prepared</w:t>
            </w:r>
          </w:p>
        </w:tc>
        <w:tc>
          <w:tcPr>
            <w:tcW w:type="dxa" w:w="7200"/>
            <w:tcMar>
              <w:top w:w="100" w:type="dxa"/>
              <w:start w:w="120" w:type="dxa"/>
              <w:bottom w:w="100" w:type="dxa"/>
              <w:end w:w="120" w:type="dxa"/>
            </w:tcMar>
            <w:vAlign w:val="center"/>
          </w:tcPr>
          <w:p>
            <w:r>
              <w:rPr>
                <w:rFonts w:ascii="Calibri" w:hAnsi="Calibri"/>
                <w:b w:val="0"/>
                <w:i w:val="0"/>
                <w:color w:val="1F3340"/>
                <w:sz w:val="22"/>
              </w:rPr>
              <w:t>August 25, 2026</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Status</w:t>
            </w:r>
          </w:p>
        </w:tc>
        <w:tc>
          <w:tcPr>
            <w:tcW w:type="dxa" w:w="7200"/>
            <w:tcMar>
              <w:top w:w="100" w:type="dxa"/>
              <w:start w:w="120" w:type="dxa"/>
              <w:bottom w:w="100" w:type="dxa"/>
              <w:end w:w="120" w:type="dxa"/>
            </w:tcMar>
            <w:vAlign w:val="center"/>
          </w:tcPr>
          <w:p>
            <w:r>
              <w:rPr>
                <w:rFonts w:ascii="Calibri" w:hAnsi="Calibri"/>
                <w:b w:val="0"/>
                <w:i w:val="0"/>
                <w:color w:val="1F3340"/>
                <w:sz w:val="22"/>
              </w:rPr>
              <w:t>EXECUTION COPY</w:t>
            </w:r>
          </w:p>
        </w:tc>
      </w:tr>
    </w:tbl>
    <w:p/>
    <w:p>
      <w:pPr>
        <w:keepLines w:val="0"/>
      </w:pPr>
      <w:r>
        <w:rPr>
          <w:rFonts w:ascii="Calibri" w:hAnsi="Calibri"/>
          <w:b/>
          <w:i w:val="0"/>
          <w:color w:val="1F3340"/>
          <w:sz w:val="22"/>
        </w:rPr>
        <w:t>Purpose.</w:t>
      </w:r>
      <w:r>
        <w:rPr>
          <w:rFonts w:ascii="Calibri" w:hAnsi="Calibri"/>
          <w:b w:val="0"/>
          <w:i w:val="0"/>
          <w:color w:val="1F3340"/>
          <w:sz w:val="22"/>
        </w:rPr>
        <w:t xml:space="preserve"> This memorandum creates a clear written record of counsel's independent review of the Corporation's authority and the legal structure selected for QueryClear. It is not management's legal opinion. Counsel should revise any statement that does not match counsel's analysis before signing.</w:t>
      </w:r>
    </w:p>
    <w:p>
      <w:pPr>
        <w:pStyle w:val="Heading1"/>
      </w:pPr>
      <w:r>
        <w:t>1. Facts presented for review</w:t>
      </w:r>
    </w:p>
    <w:p>
      <w:pPr>
        <w:pStyle w:val="ListBullet"/>
      </w:pPr>
      <w:r>
        <w:rPr>
          <w:rFonts w:ascii="Calibri" w:hAnsi="Calibri"/>
          <w:b w:val="0"/>
          <w:i w:val="0"/>
          <w:color w:val="1F3340"/>
          <w:sz w:val="22"/>
        </w:rPr>
        <w:t>SparkCreatives Inc. is an active Florida not-for-profit corporation, document number N25000003997, with principal address 6120 Caladesi Ct, Jacksonville, Florida 32258.</w:t>
      </w:r>
    </w:p>
    <w:p>
      <w:pPr>
        <w:pStyle w:val="ListBullet"/>
      </w:pPr>
      <w:r>
        <w:rPr>
          <w:rFonts w:ascii="Calibri" w:hAnsi="Calibri"/>
          <w:b w:val="0"/>
          <w:i w:val="0"/>
          <w:color w:val="1F3340"/>
          <w:sz w:val="22"/>
        </w:rPr>
        <w:t>The Internal Revenue Service has recognized the Corporation as an organization described in section 501(c)(3); EIN 33-4477854.</w:t>
      </w:r>
    </w:p>
    <w:p>
      <w:pPr>
        <w:pStyle w:val="ListBullet"/>
      </w:pPr>
      <w:r>
        <w:rPr>
          <w:rFonts w:ascii="Calibri" w:hAnsi="Calibri"/>
          <w:b w:val="0"/>
          <w:i w:val="0"/>
          <w:color w:val="1F3340"/>
          <w:sz w:val="22"/>
        </w:rPr>
        <w:t>QueryClear is presented publicly as a brand or trade name of the Corporation and offers paid SEO, website, audit, and recurring care services.</w:t>
      </w:r>
    </w:p>
    <w:p>
      <w:pPr>
        <w:pStyle w:val="ListBullet"/>
      </w:pPr>
      <w:r>
        <w:rPr>
          <w:rFonts w:ascii="Calibri" w:hAnsi="Calibri"/>
          <w:b w:val="0"/>
          <w:i w:val="0"/>
          <w:color w:val="1F3340"/>
          <w:sz w:val="22"/>
        </w:rPr>
        <w:t>Public pricing presently includes a no-cost automated preview, a $497 human-delivered audit, implementation beginning at $2,500, website builds beginning at $6,500, and an eligibility-gated $997 monthly care service.</w:t>
      </w:r>
    </w:p>
    <w:p>
      <w:pPr>
        <w:pStyle w:val="ListBullet"/>
      </w:pPr>
      <w:r>
        <w:rPr>
          <w:rFonts w:ascii="Calibri" w:hAnsi="Calibri"/>
          <w:b w:val="0"/>
          <w:i w:val="0"/>
          <w:color w:val="1F3340"/>
          <w:sz w:val="22"/>
        </w:rPr>
        <w:t>Service fees are intended to be payments for services and are not intended to be solicited, receipted, or represented as charitable contributions.</w:t>
      </w:r>
    </w:p>
    <w:p>
      <w:pPr>
        <w:pStyle w:val="ListBullet"/>
      </w:pPr>
      <w:r>
        <w:rPr>
          <w:rFonts w:ascii="Calibri" w:hAnsi="Calibri"/>
          <w:b w:val="0"/>
          <w:i w:val="0"/>
          <w:color w:val="1F3340"/>
          <w:sz w:val="22"/>
        </w:rPr>
        <w:t>Management has delivered the separately signed Management Factual Representations and Implementation Certification and disclosed material shared personnel, systems, intellectual property, compensation, customer-acquisition practices, and data flows.</w:t>
      </w:r>
    </w:p>
    <w:p>
      <w:pPr>
        <w:pStyle w:val="Heading1"/>
      </w:pPr>
      <w:r>
        <w:t>2. Scope of counsel review</w:t>
      </w:r>
    </w:p>
    <w:p>
      <w:pPr>
        <w:pStyle w:val="ListNumber"/>
      </w:pPr>
      <w:r>
        <w:rPr>
          <w:rFonts w:ascii="Calibri" w:hAnsi="Calibri"/>
          <w:b w:val="0"/>
          <w:i w:val="0"/>
          <w:color w:val="1F3340"/>
          <w:sz w:val="22"/>
        </w:rPr>
        <w:t>Review the articles, bylaws, IRS determination materials, exemption application and supporting narrative, board records, conflicts policy, and relevant agreements.</w:t>
      </w:r>
    </w:p>
    <w:p>
      <w:pPr>
        <w:pStyle w:val="ListNumber"/>
      </w:pPr>
      <w:r>
        <w:rPr>
          <w:rFonts w:ascii="Calibri" w:hAnsi="Calibri"/>
          <w:b w:val="0"/>
          <w:i w:val="0"/>
          <w:color w:val="1F3340"/>
          <w:sz w:val="22"/>
        </w:rPr>
        <w:t>Determine whether and on what conditions the QueryClear activity may be operated directly by the Corporation consistently with its governing documents and exempt purposes.</w:t>
      </w:r>
    </w:p>
    <w:p>
      <w:pPr>
        <w:pStyle w:val="ListNumber"/>
      </w:pPr>
      <w:r>
        <w:rPr>
          <w:rFonts w:ascii="Calibri" w:hAnsi="Calibri"/>
          <w:b w:val="0"/>
          <w:i w:val="0"/>
          <w:color w:val="1F3340"/>
          <w:sz w:val="22"/>
        </w:rPr>
        <w:t>Evaluate private inurement, private benefit, excess-benefit, compensation, conflict-of-interest, donated-asset, and related-party concerns.</w:t>
      </w:r>
    </w:p>
    <w:p>
      <w:pPr>
        <w:pStyle w:val="ListNumber"/>
      </w:pPr>
      <w:r>
        <w:rPr>
          <w:rFonts w:ascii="Calibri" w:hAnsi="Calibri"/>
          <w:b w:val="0"/>
          <w:i w:val="0"/>
          <w:color w:val="1F3340"/>
          <w:sz w:val="22"/>
        </w:rPr>
        <w:t>Advise whether a taxable subsidiary, separate taxable operator, cost-sharing arrangement, license, or other structural separation is required or prudent.</w:t>
      </w:r>
    </w:p>
    <w:p>
      <w:pPr>
        <w:pStyle w:val="ListNumber"/>
      </w:pPr>
      <w:r>
        <w:rPr>
          <w:rFonts w:ascii="Calibri" w:hAnsi="Calibri"/>
          <w:b w:val="0"/>
          <w:i w:val="0"/>
          <w:color w:val="1F3340"/>
          <w:sz w:val="22"/>
        </w:rPr>
        <w:t>Confirm required Florida fictitious-name, local licensing, contract, consumer, privacy, advertising, email, and telemarketing compliance steps within the agreed scope.</w:t>
      </w:r>
    </w:p>
    <w:p>
      <w:pPr>
        <w:pStyle w:val="ListNumber"/>
      </w:pPr>
      <w:r>
        <w:rPr>
          <w:rFonts w:ascii="Calibri" w:hAnsi="Calibri"/>
          <w:b w:val="0"/>
          <w:i w:val="0"/>
          <w:color w:val="1F3340"/>
          <w:sz w:val="22"/>
        </w:rPr>
        <w:t>Review the board written consent, online service terms, MSA/SOW, DPA, privacy disclosures, and outbound-marketing controls for material legal sufficiency.</w:t>
      </w:r>
    </w:p>
    <w:p>
      <w:pPr>
        <w:pStyle w:val="Heading1"/>
      </w:pPr>
      <w:r>
        <w:t>3. Counsel's selected conclusion</w:t>
      </w:r>
    </w:p>
    <w:p>
      <w:pPr>
        <w:keepLines w:val="0"/>
      </w:pPr>
      <w:r>
        <w:rPr>
          <w:rFonts w:ascii="Calibri" w:hAnsi="Calibri"/>
          <w:b w:val="0"/>
          <w:i/>
          <w:color w:val="1F3340"/>
          <w:sz w:val="22"/>
        </w:rPr>
        <w:t>Counsel must select one conclusion and strike the others before execution.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Conclusion A</w:t>
            </w:r>
          </w:p>
        </w:tc>
        <w:tc>
          <w:tcPr>
            <w:tcW w:type="dxa" w:w="6760"/>
            <w:tcMar>
              <w:top w:w="100" w:type="dxa"/>
              <w:start w:w="120" w:type="dxa"/>
              <w:bottom w:w="100" w:type="dxa"/>
              <w:end w:w="120" w:type="dxa"/>
            </w:tcMar>
            <w:vAlign w:val="center"/>
          </w:tcPr>
          <w:p>
            <w:r>
              <w:rPr>
                <w:rFonts w:ascii="Calibri" w:hAnsi="Calibri"/>
                <w:b w:val="0"/>
                <w:i w:val="0"/>
                <w:color w:val="1F3340"/>
                <w:sz w:val="22"/>
              </w:rPr>
              <w:t>[  ] Direct operation by the Corporation is approved, subject to the conditions in Section 4.</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Conclusion B</w:t>
            </w:r>
          </w:p>
        </w:tc>
        <w:tc>
          <w:tcPr>
            <w:tcW w:type="dxa" w:w="6760"/>
            <w:tcMar>
              <w:top w:w="100" w:type="dxa"/>
              <w:start w:w="120" w:type="dxa"/>
              <w:bottom w:w="100" w:type="dxa"/>
              <w:end w:w="120" w:type="dxa"/>
            </w:tcMar>
            <w:vAlign w:val="center"/>
          </w:tcPr>
          <w:p>
            <w:r>
              <w:rPr>
                <w:rFonts w:ascii="Calibri" w:hAnsi="Calibri"/>
                <w:b w:val="0"/>
                <w:i w:val="0"/>
                <w:color w:val="1F3340"/>
                <w:sz w:val="22"/>
              </w:rPr>
              <w:t>[  ] Operation through a taxable subsidiary or affiliate is required or recommended; structure and effective date are stated in Section 4.</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Conclusion C</w:t>
            </w:r>
          </w:p>
        </w:tc>
        <w:tc>
          <w:tcPr>
            <w:tcW w:type="dxa" w:w="6760"/>
            <w:tcMar>
              <w:top w:w="100" w:type="dxa"/>
              <w:start w:w="120" w:type="dxa"/>
              <w:bottom w:w="100" w:type="dxa"/>
              <w:end w:w="120" w:type="dxa"/>
            </w:tcMar>
            <w:vAlign w:val="center"/>
          </w:tcPr>
          <w:p>
            <w:r>
              <w:rPr>
                <w:rFonts w:ascii="Calibri" w:hAnsi="Calibri"/>
                <w:b w:val="0"/>
                <w:i w:val="0"/>
                <w:color w:val="1F3340"/>
                <w:sz w:val="22"/>
              </w:rPr>
              <w:t>[  ] Another structure is approved; the structure and rationale are stated in Section 4.</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Launch status</w:t>
            </w:r>
          </w:p>
        </w:tc>
        <w:tc>
          <w:tcPr>
            <w:tcW w:type="dxa" w:w="6760"/>
            <w:tcMar>
              <w:top w:w="100" w:type="dxa"/>
              <w:start w:w="120" w:type="dxa"/>
              <w:bottom w:w="100" w:type="dxa"/>
              <w:end w:w="120" w:type="dxa"/>
            </w:tcMar>
            <w:vAlign w:val="center"/>
          </w:tcPr>
          <w:p>
            <w:r>
              <w:rPr>
                <w:rFonts w:ascii="Calibri" w:hAnsi="Calibri"/>
                <w:b w:val="0"/>
                <w:i w:val="0"/>
                <w:color w:val="1F3340"/>
                <w:sz w:val="22"/>
              </w:rPr>
              <w:t>[  ] Approved now   [  ] Approved after listed conditions   [  ] Not approved</w:t>
            </w:r>
          </w:p>
        </w:tc>
      </w:tr>
    </w:tbl>
    <w:p>
      <w:pPr>
        <w:pStyle w:val="Heading1"/>
      </w:pPr>
      <w:r>
        <w:t>4. Required conditions and rationale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Structure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Exempt-purpose analysis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Private-benefit / compensation controls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Board / conflict actions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Trade name / licensing</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Contracts / privacy / marketing</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Other launch conditions</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Required review date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pStyle w:val="Heading1"/>
      </w:pPr>
      <w:r>
        <w:t>5. Counsel concurrence</w:t>
      </w:r>
    </w:p>
    <w:p>
      <w:pPr>
        <w:keepLines w:val="0"/>
      </w:pPr>
      <w:r>
        <w:rPr>
          <w:rFonts w:ascii="Calibri" w:hAnsi="Calibri"/>
          <w:b w:val="0"/>
          <w:i w:val="0"/>
          <w:color w:val="1F3340"/>
          <w:sz w:val="22"/>
        </w:rPr>
        <w:t>Based on the documents and facts identified above, and subject to the assumptions, qualifications, jurisdictional limits, and conditions written into this memorandum, the undersigned counsel concurs with the selected conclusion in Section 3. Counsel has modified this document wherever necessary so that it accurately states counsel's professional conclusion. No unsigned draft is an approval or legal opinion.</w:t>
      </w:r>
    </w:p>
    <w:p>
      <w:pPr>
        <w:pStyle w:val="Heading2"/>
      </w:pPr>
      <w:r>
        <w:t>Attorney signature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Attorney 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Firm</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Bar / jurisdiction</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Matter / file number</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keepLines w:val="0"/>
      </w:pPr>
      <w:r>
        <w:rPr>
          <w:rFonts w:ascii="Calibri" w:hAnsi="Calibri"/>
          <w:b w:val="0"/>
          <w:i/>
          <w:color w:val="1F3340"/>
          <w:sz w:val="22"/>
        </w:rPr>
        <w:t>Electronic signatures and counterparts are permitted to the extent approved by the signer and the Corporation.</w:t>
      </w:r>
    </w:p>
    <w:p>
      <w:pPr>
        <w:pStyle w:val="Heading1"/>
      </w:pPr>
      <w:r>
        <w:t>Reference record</w:t>
      </w:r>
    </w:p>
    <w:p>
      <w:pPr>
        <w:keepLines w:val="0"/>
      </w:pPr>
      <w:r>
        <w:rPr>
          <w:rFonts w:ascii="Calibri" w:hAnsi="Calibri"/>
          <w:b w:val="0"/>
          <w:i/>
          <w:color w:val="1F3340"/>
          <w:sz w:val="22"/>
        </w:rPr>
        <w:t>These materials support review but do not substitute for the signer's independent professional analysis.</w:t>
      </w:r>
    </w:p>
    <w:p>
      <w:pPr>
        <w:pStyle w:val="ListBullet"/>
      </w:pPr>
      <w:r>
        <w:rPr>
          <w:rFonts w:ascii="Calibri" w:hAnsi="Calibri"/>
          <w:b w:val="0"/>
          <w:i w:val="0"/>
          <w:color w:val="1F3340"/>
          <w:sz w:val="22"/>
        </w:rPr>
        <w:t>Florida Division of Corporations record for SparkCreatives Inc., document N25000003997.</w:t>
      </w:r>
    </w:p>
    <w:p>
      <w:pPr>
        <w:pStyle w:val="ListBullet"/>
      </w:pPr>
      <w:r>
        <w:rPr>
          <w:rFonts w:ascii="Calibri" w:hAnsi="Calibri"/>
          <w:b w:val="0"/>
          <w:i w:val="0"/>
          <w:color w:val="1F3340"/>
          <w:sz w:val="22"/>
        </w:rPr>
        <w:t>IRS determination letter and exemption materials maintained by the Corporation.</w:t>
      </w:r>
    </w:p>
    <w:p>
      <w:pPr>
        <w:pStyle w:val="ListBullet"/>
      </w:pPr>
      <w:r>
        <w:rPr>
          <w:rFonts w:ascii="Calibri" w:hAnsi="Calibri"/>
          <w:b w:val="0"/>
          <w:i w:val="0"/>
          <w:color w:val="1F3340"/>
          <w:sz w:val="22"/>
        </w:rPr>
        <w:t>IRS, Unrelated Business Income Defined; Unrelated Business Income Tax; Substantially Related; Inurement/Private Benefit guidance.</w:t>
      </w:r>
    </w:p>
    <w:p>
      <w:pPr>
        <w:pStyle w:val="ListBullet"/>
      </w:pPr>
      <w:r>
        <w:rPr>
          <w:rFonts w:ascii="Calibri" w:hAnsi="Calibri"/>
          <w:b w:val="0"/>
          <w:i w:val="0"/>
          <w:color w:val="1F3340"/>
          <w:sz w:val="22"/>
        </w:rPr>
        <w:t>Current QueryClear website, offer descriptions, Privacy Policy, Terms, checkout, outreach, and service-delivery materials.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670"/>
        <w:sz w:val="18"/>
      </w:rPr>
      <w:t xml:space="preserve">Confidential execution copy | Page </w:t>
    </w:r>
    <w:r>
      <w:rPr>
        <w:rFonts w:ascii="Calibri" w:hAnsi="Calibri"/>
        <w:b w:val="0"/>
        <w:i w:val="0"/>
        <w:color w:val="5C66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C6670"/>
        <w:sz w:val="18"/>
      </w:rPr>
      <w:t>QueryClear | Governance and Professional Approval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33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F334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i/>
      <w:iCs/>
      <w:color w:val="5C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