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1F3340"/>
          <w:sz w:val="46"/>
        </w:rPr>
        <w:t>CPA Tax and Accounting Position Concurrence</w:t>
      </w:r>
    </w:p>
    <w:p>
      <w:pPr>
        <w:pStyle w:val="Subtitle"/>
      </w:pPr>
      <w:r>
        <w:rPr>
          <w:rFonts w:ascii="Calibri" w:hAnsi="Calibri"/>
          <w:b w:val="0"/>
          <w:i w:val="0"/>
          <w:color w:val="5C6670"/>
          <w:sz w:val="26"/>
        </w:rPr>
        <w:t>QueryClear revenue, expense allocation, reporting, and ongoing controls</w:t>
      </w:r>
    </w:p>
    <w:tbl>
      <w:tblPr>
        <w:tblStyle w:val="TableGrid"/>
        <w:tblW w:type="dxa" w:w="9360"/>
        <w:jc w:val="left"/>
        <w:tblLayout w:type="fixed"/>
        <w:tblLook w:firstColumn="1" w:firstRow="1" w:lastColumn="0" w:lastRow="0" w:noHBand="0" w:noVBand="1" w:val="04A0"/>
        <w:tblInd w:w="120" w:type="dxa"/>
      </w:tblPr>
      <w:tblGrid>
        <w:gridCol w:w="2160"/>
        <w:gridCol w:w="7200"/>
      </w:tblGrid>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Entity</w:t>
            </w:r>
          </w:p>
        </w:tc>
        <w:tc>
          <w:tcPr>
            <w:tcW w:type="dxa" w:w="7200"/>
            <w:tcMar>
              <w:top w:w="100" w:type="dxa"/>
              <w:start w:w="120" w:type="dxa"/>
              <w:bottom w:w="100" w:type="dxa"/>
              <w:end w:w="120" w:type="dxa"/>
            </w:tcMar>
            <w:vAlign w:val="center"/>
          </w:tcPr>
          <w:p>
            <w:r>
              <w:rPr>
                <w:rFonts w:ascii="Calibri" w:hAnsi="Calibri"/>
                <w:b w:val="0"/>
                <w:i w:val="0"/>
                <w:color w:val="1F3340"/>
                <w:sz w:val="22"/>
              </w:rPr>
              <w:t>SparkCreatives Inc., Florida not-for-profit corporation (N25000003997)</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Brand/activity</w:t>
            </w:r>
          </w:p>
        </w:tc>
        <w:tc>
          <w:tcPr>
            <w:tcW w:type="dxa" w:w="7200"/>
            <w:tcMar>
              <w:top w:w="100" w:type="dxa"/>
              <w:start w:w="120" w:type="dxa"/>
              <w:bottom w:w="100" w:type="dxa"/>
              <w:end w:w="120" w:type="dxa"/>
            </w:tcMar>
            <w:vAlign w:val="center"/>
          </w:tcPr>
          <w:p>
            <w:r>
              <w:rPr>
                <w:rFonts w:ascii="Calibri" w:hAnsi="Calibri"/>
                <w:b w:val="0"/>
                <w:i w:val="0"/>
                <w:color w:val="1F3340"/>
                <w:sz w:val="22"/>
              </w:rPr>
              <w:t>QueryClear — commercial website, SEO, and AI-search-readiness services</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Prepared</w:t>
            </w:r>
          </w:p>
        </w:tc>
        <w:tc>
          <w:tcPr>
            <w:tcW w:type="dxa" w:w="7200"/>
            <w:tcMar>
              <w:top w:w="100" w:type="dxa"/>
              <w:start w:w="120" w:type="dxa"/>
              <w:bottom w:w="100" w:type="dxa"/>
              <w:end w:w="120" w:type="dxa"/>
            </w:tcMar>
            <w:vAlign w:val="center"/>
          </w:tcPr>
          <w:p>
            <w:r>
              <w:rPr>
                <w:rFonts w:ascii="Calibri" w:hAnsi="Calibri"/>
                <w:b w:val="0"/>
                <w:i w:val="0"/>
                <w:color w:val="1F3340"/>
                <w:sz w:val="22"/>
              </w:rPr>
              <w:t>August 25, 2026</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Status</w:t>
            </w:r>
          </w:p>
        </w:tc>
        <w:tc>
          <w:tcPr>
            <w:tcW w:type="dxa" w:w="7200"/>
            <w:tcMar>
              <w:top w:w="100" w:type="dxa"/>
              <w:start w:w="120" w:type="dxa"/>
              <w:bottom w:w="100" w:type="dxa"/>
              <w:end w:w="120" w:type="dxa"/>
            </w:tcMar>
            <w:vAlign w:val="center"/>
          </w:tcPr>
          <w:p>
            <w:r>
              <w:rPr>
                <w:rFonts w:ascii="Calibri" w:hAnsi="Calibri"/>
                <w:b w:val="0"/>
                <w:i w:val="0"/>
                <w:color w:val="1F3340"/>
                <w:sz w:val="22"/>
              </w:rPr>
              <w:t>EXECUTION COPY</w:t>
            </w:r>
          </w:p>
        </w:tc>
      </w:tr>
    </w:tbl>
    <w:p/>
    <w:p>
      <w:pPr>
        <w:keepLines w:val="0"/>
      </w:pPr>
      <w:r>
        <w:rPr>
          <w:rFonts w:ascii="Calibri" w:hAnsi="Calibri"/>
          <w:b/>
          <w:i w:val="0"/>
          <w:color w:val="1F3340"/>
          <w:sz w:val="22"/>
        </w:rPr>
        <w:t>Purpose.</w:t>
      </w:r>
      <w:r>
        <w:rPr>
          <w:rFonts w:ascii="Calibri" w:hAnsi="Calibri"/>
          <w:b w:val="0"/>
          <w:i w:val="0"/>
          <w:color w:val="1F3340"/>
          <w:sz w:val="22"/>
        </w:rPr>
        <w:t xml:space="preserve"> This memorandum documents the tax and accounting treatment selected for QueryClear after the CPA's independent review. It must be conformed to the legal structure approved by counsel. The CPA should revise all positions, thresholds, filing forms, and effective dates before signing.</w:t>
      </w:r>
    </w:p>
    <w:p>
      <w:pPr>
        <w:pStyle w:val="Heading1"/>
      </w:pPr>
      <w:r>
        <w:t>1. Facts and records supplied</w:t>
      </w:r>
    </w:p>
    <w:p>
      <w:pPr>
        <w:pStyle w:val="ListBullet"/>
      </w:pPr>
      <w:r>
        <w:rPr>
          <w:rFonts w:ascii="Calibri" w:hAnsi="Calibri"/>
          <w:b w:val="0"/>
          <w:i w:val="0"/>
          <w:color w:val="1F3340"/>
          <w:sz w:val="22"/>
        </w:rPr>
        <w:t>Taxpayer: SparkCreatives Inc.; EIN 33-4477854; Florida document number N25000003997.</w:t>
      </w:r>
    </w:p>
    <w:p>
      <w:pPr>
        <w:pStyle w:val="ListBullet"/>
      </w:pPr>
      <w:r>
        <w:rPr>
          <w:rFonts w:ascii="Calibri" w:hAnsi="Calibri"/>
          <w:b w:val="0"/>
          <w:i w:val="0"/>
          <w:color w:val="1F3340"/>
          <w:sz w:val="22"/>
        </w:rPr>
        <w:t>Activity: paid services sold under the QueryClear name, including audits, website work, recurring care, and related digital services.</w:t>
      </w:r>
    </w:p>
    <w:p>
      <w:pPr>
        <w:pStyle w:val="ListBullet"/>
      </w:pPr>
      <w:r>
        <w:rPr>
          <w:rFonts w:ascii="Calibri" w:hAnsi="Calibri"/>
          <w:b w:val="0"/>
          <w:i w:val="0"/>
          <w:color w:val="1F3340"/>
          <w:sz w:val="22"/>
        </w:rPr>
        <w:t>Revenue may be collected through Stripe or invoicing; operating costs may include software, AI/API usage, hosting, payment fees, contractors, payroll, marketing, insurance, and shared overhead.</w:t>
      </w:r>
    </w:p>
    <w:p>
      <w:pPr>
        <w:pStyle w:val="ListBullet"/>
      </w:pPr>
      <w:r>
        <w:rPr>
          <w:rFonts w:ascii="Calibri" w:hAnsi="Calibri"/>
          <w:b w:val="0"/>
          <w:i w:val="0"/>
          <w:color w:val="1F3340"/>
          <w:sz w:val="22"/>
        </w:rPr>
        <w:t>Management will maintain separate activity-level accounting and will not characterize commercial service payments as charitable gifts.</w:t>
      </w:r>
    </w:p>
    <w:p>
      <w:pPr>
        <w:pStyle w:val="ListBullet"/>
      </w:pPr>
      <w:r>
        <w:rPr>
          <w:rFonts w:ascii="Calibri" w:hAnsi="Calibri"/>
          <w:b w:val="0"/>
          <w:i w:val="0"/>
          <w:color w:val="1F3340"/>
          <w:sz w:val="22"/>
        </w:rPr>
        <w:t>Counsel's executed legal-structure concurrence and management's signed factual representations are incorporated by reference.</w:t>
      </w:r>
    </w:p>
    <w:p>
      <w:pPr>
        <w:pStyle w:val="Heading1"/>
      </w:pPr>
      <w:r>
        <w:t>2. Positions to be completed by the CPA</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Legal operating model</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Revenue classification</w:t>
            </w:r>
          </w:p>
        </w:tc>
        <w:tc>
          <w:tcPr>
            <w:tcW w:type="dxa" w:w="6760"/>
            <w:tcMar>
              <w:top w:w="100" w:type="dxa"/>
              <w:start w:w="120" w:type="dxa"/>
              <w:bottom w:w="100" w:type="dxa"/>
              <w:end w:w="120" w:type="dxa"/>
            </w:tcMar>
            <w:vAlign w:val="center"/>
          </w:tcPr>
          <w:p>
            <w:r>
              <w:rPr>
                <w:rFonts w:ascii="Calibri" w:hAnsi="Calibri"/>
                <w:b w:val="0"/>
                <w:i w:val="0"/>
                <w:color w:val="1F3340"/>
                <w:sz w:val="22"/>
              </w:rPr>
              <w:t>[  ] Related program service   [  ] Unrelated business   [  ] Taxable affiliate   [  ] Other</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Federal filings</w:t>
            </w:r>
          </w:p>
        </w:tc>
        <w:tc>
          <w:tcPr>
            <w:tcW w:type="dxa" w:w="6760"/>
            <w:tcMar>
              <w:top w:w="100" w:type="dxa"/>
              <w:start w:w="120" w:type="dxa"/>
              <w:bottom w:w="100" w:type="dxa"/>
              <w:end w:w="120" w:type="dxa"/>
            </w:tcMar>
            <w:vAlign w:val="center"/>
          </w:tcPr>
          <w:p>
            <w:r>
              <w:rPr>
                <w:rFonts w:ascii="Calibri" w:hAnsi="Calibri"/>
                <w:b w:val="0"/>
                <w:i w:val="0"/>
                <w:color w:val="1F3340"/>
                <w:sz w:val="22"/>
              </w:rPr>
              <w:t>[  ] Form 990   [  ] Form 990-T   [  ] Form 1120   [  ] Estimated tax   [  ] Other</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State / local filings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Sales-tax position</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Nexus review scope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Accounting basis</w:t>
            </w:r>
          </w:p>
        </w:tc>
        <w:tc>
          <w:tcPr>
            <w:tcW w:type="dxa" w:w="6760"/>
            <w:tcMar>
              <w:top w:w="100" w:type="dxa"/>
              <w:start w:w="120" w:type="dxa"/>
              <w:bottom w:w="100" w:type="dxa"/>
              <w:end w:w="120" w:type="dxa"/>
            </w:tcMar>
            <w:vAlign w:val="center"/>
          </w:tcPr>
          <w:p>
            <w:r>
              <w:rPr>
                <w:rFonts w:ascii="Calibri" w:hAnsi="Calibri"/>
                <w:b w:val="0"/>
                <w:i w:val="0"/>
                <w:color w:val="1F3340"/>
                <w:sz w:val="22"/>
              </w:rPr>
              <w:t>[  ] Cash   [  ] Accrual   [  ] Other: 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Effective date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pStyle w:val="Heading1"/>
      </w:pPr>
      <w:r>
        <w:t>3. Required accounting controls</w:t>
      </w:r>
    </w:p>
    <w:p>
      <w:pPr>
        <w:pStyle w:val="ListNumber"/>
      </w:pPr>
      <w:r>
        <w:rPr>
          <w:rFonts w:ascii="Calibri" w:hAnsi="Calibri"/>
          <w:b w:val="0"/>
          <w:i w:val="0"/>
          <w:color w:val="1F3340"/>
          <w:sz w:val="22"/>
        </w:rPr>
        <w:t>Create a distinct QueryClear class, department, fund, or entity ledger and reconcile Stripe, bank, invoicing, refunds, disputes, and accounts receivable monthly.</w:t>
      </w:r>
    </w:p>
    <w:p>
      <w:pPr>
        <w:pStyle w:val="ListNumber"/>
      </w:pPr>
      <w:r>
        <w:rPr>
          <w:rFonts w:ascii="Calibri" w:hAnsi="Calibri"/>
          <w:b w:val="0"/>
          <w:i w:val="0"/>
          <w:color w:val="1F3340"/>
          <w:sz w:val="22"/>
        </w:rPr>
        <w:t>Use a written, consistently applied method to allocate shared labor, software, hosting, facilities, marketing, contractor, and administrative expenses.</w:t>
      </w:r>
    </w:p>
    <w:p>
      <w:pPr>
        <w:pStyle w:val="ListNumber"/>
      </w:pPr>
      <w:r>
        <w:rPr>
          <w:rFonts w:ascii="Calibri" w:hAnsi="Calibri"/>
          <w:b w:val="0"/>
          <w:i w:val="0"/>
          <w:color w:val="1F3340"/>
          <w:sz w:val="22"/>
        </w:rPr>
        <w:t>Document compensation and related-party payments against board-approved arrangements and contemporaneous support.</w:t>
      </w:r>
    </w:p>
    <w:p>
      <w:pPr>
        <w:pStyle w:val="ListNumber"/>
      </w:pPr>
      <w:r>
        <w:rPr>
          <w:rFonts w:ascii="Calibri" w:hAnsi="Calibri"/>
          <w:b w:val="0"/>
          <w:i w:val="0"/>
          <w:color w:val="1F3340"/>
          <w:sz w:val="22"/>
        </w:rPr>
        <w:t>Separate charitable contributions, grants, restricted funds, in-kind donations, and volunteer activity from commercial service receipts and costs.</w:t>
      </w:r>
    </w:p>
    <w:p>
      <w:pPr>
        <w:pStyle w:val="ListNumber"/>
      </w:pPr>
      <w:r>
        <w:rPr>
          <w:rFonts w:ascii="Calibri" w:hAnsi="Calibri"/>
          <w:b w:val="0"/>
          <w:i w:val="0"/>
          <w:color w:val="1F3340"/>
          <w:sz w:val="22"/>
        </w:rPr>
        <w:t>Retain contracts, invoices, source records, customer refunds, processor reports, allocation workpapers, and tax support under the approved retention schedule.</w:t>
      </w:r>
    </w:p>
    <w:p>
      <w:pPr>
        <w:pStyle w:val="ListNumber"/>
      </w:pPr>
      <w:r>
        <w:rPr>
          <w:rFonts w:ascii="Calibri" w:hAnsi="Calibri"/>
          <w:b w:val="0"/>
          <w:i w:val="0"/>
          <w:color w:val="1F3340"/>
          <w:sz w:val="22"/>
        </w:rPr>
        <w:t>Review revenue mix, gross unrelated-business income, net taxable income, estimated-tax needs, nexus, and filing thresholds at least quarterly during the first operating year.</w:t>
      </w:r>
    </w:p>
    <w:p>
      <w:pPr>
        <w:pStyle w:val="Heading1"/>
      </w:pPr>
      <w:r>
        <w:t>4. CPA-specific instructions and thresholds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Chart-of-accounts instructions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Allocation methodology</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Quarterly review triggers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Estimated-tax instructions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Form 990 presentation</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Intercompany treatment</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Record-retention additions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Next formal review</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pStyle w:val="Heading1"/>
      </w:pPr>
      <w:r>
        <w:t>5. CPA concurrence</w:t>
      </w:r>
    </w:p>
    <w:p>
      <w:pPr>
        <w:keepLines w:val="0"/>
      </w:pPr>
      <w:r>
        <w:rPr>
          <w:rFonts w:ascii="Calibri" w:hAnsi="Calibri"/>
          <w:b w:val="0"/>
          <w:i w:val="0"/>
          <w:color w:val="1F3340"/>
          <w:sz w:val="22"/>
        </w:rPr>
        <w:t>Based on the records and representations identified above, and subject to the assumptions and qualifications written into this memorandum, the undersigned CPA concurs with the completed tax and accounting positions. The CPA has modified this document wherever necessary so it accurately states the selected treatment. No unsigned draft is tax advice, a filing position, or an attestation engagement.</w:t>
      </w:r>
    </w:p>
    <w:p>
      <w:pPr>
        <w:pStyle w:val="Heading2"/>
      </w:pPr>
      <w:r>
        <w:t>CPA signature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CPA 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Firm</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License / jurisdiction</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Engagement / file number</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keepLines w:val="0"/>
      </w:pPr>
      <w:r>
        <w:rPr>
          <w:rFonts w:ascii="Calibri" w:hAnsi="Calibri"/>
          <w:b w:val="0"/>
          <w:i/>
          <w:color w:val="1F3340"/>
          <w:sz w:val="22"/>
        </w:rPr>
        <w:t>Electronic signatures and counterparts are permitted to the extent approved by the signer and the Corporation.</w:t>
      </w:r>
    </w:p>
    <w:p>
      <w:pPr>
        <w:pStyle w:val="Heading1"/>
      </w:pPr>
      <w:r>
        <w:t>Reference record</w:t>
      </w:r>
    </w:p>
    <w:p>
      <w:pPr>
        <w:keepLines w:val="0"/>
      </w:pPr>
      <w:r>
        <w:rPr>
          <w:rFonts w:ascii="Calibri" w:hAnsi="Calibri"/>
          <w:b w:val="0"/>
          <w:i/>
          <w:color w:val="1F3340"/>
          <w:sz w:val="22"/>
        </w:rPr>
        <w:t>These materials support review but do not substitute for the signer's independent professional analysis.</w:t>
      </w:r>
    </w:p>
    <w:p>
      <w:pPr>
        <w:pStyle w:val="ListBullet"/>
      </w:pPr>
      <w:r>
        <w:rPr>
          <w:rFonts w:ascii="Calibri" w:hAnsi="Calibri"/>
          <w:b w:val="0"/>
          <w:i w:val="0"/>
          <w:color w:val="1F3340"/>
          <w:sz w:val="22"/>
        </w:rPr>
        <w:t>Executed counsel legal-structure concurrence and the draft board written consent.</w:t>
      </w:r>
    </w:p>
    <w:p>
      <w:pPr>
        <w:pStyle w:val="ListBullet"/>
      </w:pPr>
      <w:r>
        <w:rPr>
          <w:rFonts w:ascii="Calibri" w:hAnsi="Calibri"/>
          <w:b w:val="0"/>
          <w:i w:val="0"/>
          <w:color w:val="1F3340"/>
          <w:sz w:val="22"/>
        </w:rPr>
        <w:t>IRS determination letter, exemption application, governing documents, and prior Form 990-series filings, if any.</w:t>
      </w:r>
    </w:p>
    <w:p>
      <w:pPr>
        <w:pStyle w:val="ListBullet"/>
      </w:pPr>
      <w:r>
        <w:rPr>
          <w:rFonts w:ascii="Calibri" w:hAnsi="Calibri"/>
          <w:b w:val="0"/>
          <w:i w:val="0"/>
          <w:color w:val="1F3340"/>
          <w:sz w:val="22"/>
        </w:rPr>
        <w:t>QueryClear revenue, Stripe, bank, payroll, contractor, software, marketing, shared-cost, and customer-refund records.</w:t>
      </w:r>
    </w:p>
    <w:p>
      <w:pPr>
        <w:pStyle w:val="ListBullet"/>
      </w:pPr>
      <w:r>
        <w:rPr>
          <w:rFonts w:ascii="Calibri" w:hAnsi="Calibri"/>
          <w:b w:val="0"/>
          <w:i w:val="0"/>
          <w:color w:val="1F3340"/>
          <w:sz w:val="22"/>
        </w:rPr>
        <w:t>IRS guidance and current filing instructions applicable to the CPA's selected treatment and tax year.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670"/>
        <w:sz w:val="18"/>
      </w:rPr>
      <w:t xml:space="preserve">Confidential execution copy | Page </w:t>
    </w:r>
    <w:r>
      <w:rPr>
        <w:rFonts w:ascii="Calibri" w:hAnsi="Calibri"/>
        <w:b w:val="0"/>
        <w:i w:val="0"/>
        <w:color w:val="5C66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670"/>
        <w:sz w:val="18"/>
      </w:rPr>
      <w:t>QueryClear | Governance and Professional Approval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33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F33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i/>
      <w:iCs/>
      <w:color w:val="5C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