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i w:val="0"/>
          <w:color w:val="1F3340"/>
          <w:sz w:val="46"/>
        </w:rPr>
        <w:t>Unanimous Written Consent of the Board of Directors</w:t>
      </w:r>
    </w:p>
    <w:p>
      <w:pPr>
        <w:pStyle w:val="Subtitle"/>
      </w:pPr>
      <w:r>
        <w:rPr>
          <w:rFonts w:ascii="Calibri" w:hAnsi="Calibri"/>
          <w:b w:val="0"/>
          <w:i w:val="0"/>
          <w:color w:val="5C6670"/>
          <w:sz w:val="26"/>
        </w:rPr>
        <w:t>Ratification and governance of the QueryClear commercial activity</w:t>
      </w:r>
    </w:p>
    <w:tbl>
      <w:tblPr>
        <w:tblStyle w:val="TableGrid"/>
        <w:tblW w:type="dxa" w:w="9360"/>
        <w:jc w:val="left"/>
        <w:tblLayout w:type="fixed"/>
        <w:tblLook w:firstColumn="1" w:firstRow="1" w:lastColumn="0" w:lastRow="0" w:noHBand="0" w:noVBand="1" w:val="04A0"/>
        <w:tblInd w:w="120" w:type="dxa"/>
      </w:tblPr>
      <w:tblGrid>
        <w:gridCol w:w="2160"/>
        <w:gridCol w:w="7200"/>
      </w:tblGrid>
      <w:tr>
        <w:trPr>
          <w:cantSplit/>
        </w:trPr>
        <w:tc>
          <w:tcPr>
            <w:tcW w:type="dxa" w:w="2160"/>
            <w:tcMar>
              <w:top w:w="100" w:type="dxa"/>
              <w:start w:w="120" w:type="dxa"/>
              <w:bottom w:w="100" w:type="dxa"/>
              <w:end w:w="120" w:type="dxa"/>
            </w:tcMar>
            <w:vAlign w:val="center"/>
            <w:shd w:fill="F2F4F7"/>
          </w:tcPr>
          <w:p>
            <w:r>
              <w:rPr>
                <w:rFonts w:ascii="Calibri" w:hAnsi="Calibri"/>
                <w:b/>
                <w:i w:val="0"/>
                <w:color w:val="1F3340"/>
                <w:sz w:val="22"/>
              </w:rPr>
              <w:t>Entity</w:t>
            </w:r>
          </w:p>
        </w:tc>
        <w:tc>
          <w:tcPr>
            <w:tcW w:type="dxa" w:w="7200"/>
            <w:tcMar>
              <w:top w:w="100" w:type="dxa"/>
              <w:start w:w="120" w:type="dxa"/>
              <w:bottom w:w="100" w:type="dxa"/>
              <w:end w:w="120" w:type="dxa"/>
            </w:tcMar>
            <w:vAlign w:val="center"/>
          </w:tcPr>
          <w:p>
            <w:r>
              <w:rPr>
                <w:rFonts w:ascii="Calibri" w:hAnsi="Calibri"/>
                <w:b w:val="0"/>
                <w:i w:val="0"/>
                <w:color w:val="1F3340"/>
                <w:sz w:val="22"/>
              </w:rPr>
              <w:t>SparkCreatives Inc., Florida not-for-profit corporation (N25000003997)</w:t>
            </w:r>
          </w:p>
        </w:tc>
      </w:tr>
      <w:tr>
        <w:trPr>
          <w:cantSplit/>
        </w:trPr>
        <w:tc>
          <w:tcPr>
            <w:tcW w:type="dxa" w:w="2160"/>
            <w:tcMar>
              <w:top w:w="100" w:type="dxa"/>
              <w:start w:w="120" w:type="dxa"/>
              <w:bottom w:w="100" w:type="dxa"/>
              <w:end w:w="120" w:type="dxa"/>
            </w:tcMar>
            <w:vAlign w:val="center"/>
            <w:shd w:fill="F2F4F7"/>
          </w:tcPr>
          <w:p>
            <w:r>
              <w:rPr>
                <w:rFonts w:ascii="Calibri" w:hAnsi="Calibri"/>
                <w:b/>
                <w:i w:val="0"/>
                <w:color w:val="1F3340"/>
                <w:sz w:val="22"/>
              </w:rPr>
              <w:t>Brand/activity</w:t>
            </w:r>
          </w:p>
        </w:tc>
        <w:tc>
          <w:tcPr>
            <w:tcW w:type="dxa" w:w="7200"/>
            <w:tcMar>
              <w:top w:w="100" w:type="dxa"/>
              <w:start w:w="120" w:type="dxa"/>
              <w:bottom w:w="100" w:type="dxa"/>
              <w:end w:w="120" w:type="dxa"/>
            </w:tcMar>
            <w:vAlign w:val="center"/>
          </w:tcPr>
          <w:p>
            <w:r>
              <w:rPr>
                <w:rFonts w:ascii="Calibri" w:hAnsi="Calibri"/>
                <w:b w:val="0"/>
                <w:i w:val="0"/>
                <w:color w:val="1F3340"/>
                <w:sz w:val="22"/>
              </w:rPr>
              <w:t>QueryClear — commercial website, SEO, and AI-search-readiness services</w:t>
            </w:r>
          </w:p>
        </w:tc>
      </w:tr>
      <w:tr>
        <w:trPr>
          <w:cantSplit/>
        </w:trPr>
        <w:tc>
          <w:tcPr>
            <w:tcW w:type="dxa" w:w="2160"/>
            <w:tcMar>
              <w:top w:w="100" w:type="dxa"/>
              <w:start w:w="120" w:type="dxa"/>
              <w:bottom w:w="100" w:type="dxa"/>
              <w:end w:w="120" w:type="dxa"/>
            </w:tcMar>
            <w:vAlign w:val="center"/>
            <w:shd w:fill="F2F4F7"/>
          </w:tcPr>
          <w:p>
            <w:r>
              <w:rPr>
                <w:rFonts w:ascii="Calibri" w:hAnsi="Calibri"/>
                <w:b/>
                <w:i w:val="0"/>
                <w:color w:val="1F3340"/>
                <w:sz w:val="22"/>
              </w:rPr>
              <w:t>Prepared</w:t>
            </w:r>
          </w:p>
        </w:tc>
        <w:tc>
          <w:tcPr>
            <w:tcW w:type="dxa" w:w="7200"/>
            <w:tcMar>
              <w:top w:w="100" w:type="dxa"/>
              <w:start w:w="120" w:type="dxa"/>
              <w:bottom w:w="100" w:type="dxa"/>
              <w:end w:w="120" w:type="dxa"/>
            </w:tcMar>
            <w:vAlign w:val="center"/>
          </w:tcPr>
          <w:p>
            <w:r>
              <w:rPr>
                <w:rFonts w:ascii="Calibri" w:hAnsi="Calibri"/>
                <w:b w:val="0"/>
                <w:i w:val="0"/>
                <w:color w:val="1F3340"/>
                <w:sz w:val="22"/>
              </w:rPr>
              <w:t>August 25, 2026</w:t>
            </w:r>
          </w:p>
        </w:tc>
      </w:tr>
      <w:tr>
        <w:trPr>
          <w:cantSplit/>
        </w:trPr>
        <w:tc>
          <w:tcPr>
            <w:tcW w:type="dxa" w:w="2160"/>
            <w:tcMar>
              <w:top w:w="100" w:type="dxa"/>
              <w:start w:w="120" w:type="dxa"/>
              <w:bottom w:w="100" w:type="dxa"/>
              <w:end w:w="120" w:type="dxa"/>
            </w:tcMar>
            <w:vAlign w:val="center"/>
            <w:shd w:fill="F2F4F7"/>
          </w:tcPr>
          <w:p>
            <w:r>
              <w:rPr>
                <w:rFonts w:ascii="Calibri" w:hAnsi="Calibri"/>
                <w:b/>
                <w:i w:val="0"/>
                <w:color w:val="1F3340"/>
                <w:sz w:val="22"/>
              </w:rPr>
              <w:t>Status</w:t>
            </w:r>
          </w:p>
        </w:tc>
        <w:tc>
          <w:tcPr>
            <w:tcW w:type="dxa" w:w="7200"/>
            <w:tcMar>
              <w:top w:w="100" w:type="dxa"/>
              <w:start w:w="120" w:type="dxa"/>
              <w:bottom w:w="100" w:type="dxa"/>
              <w:end w:w="120" w:type="dxa"/>
            </w:tcMar>
            <w:vAlign w:val="center"/>
          </w:tcPr>
          <w:p>
            <w:r>
              <w:rPr>
                <w:rFonts w:ascii="Calibri" w:hAnsi="Calibri"/>
                <w:b w:val="0"/>
                <w:i w:val="0"/>
                <w:color w:val="1F3340"/>
                <w:sz w:val="22"/>
              </w:rPr>
              <w:t>DRAFT — COMPLETE AFTER COUNSEL AND CPA CONCURRENCES</w:t>
            </w:r>
          </w:p>
        </w:tc>
      </w:tr>
    </w:tbl>
    <w:p/>
    <w:p>
      <w:pPr>
        <w:keepLines w:val="0"/>
      </w:pPr>
      <w:r>
        <w:rPr>
          <w:rFonts w:ascii="Calibri" w:hAnsi="Calibri"/>
          <w:b w:val="0"/>
          <w:i w:val="0"/>
          <w:color w:val="1F3340"/>
          <w:sz w:val="22"/>
        </w:rPr>
        <w:t>The undersigned, constituting all directors of SparkCreatives Inc. entitled to vote on these actions, adopt the following resolutions by unanimous written consent effective on the date stated below. The Secretary shall place the executed consent and incorporated exhibits in the Corporation's minute book.</w:t>
      </w:r>
    </w:p>
    <w:p>
      <w:pPr>
        <w:pStyle w:val="Heading1"/>
      </w:pPr>
      <w:r>
        <w:t>Recitals</w:t>
      </w:r>
    </w:p>
    <w:p>
      <w:pPr>
        <w:pStyle w:val="ListBullet"/>
      </w:pPr>
      <w:r>
        <w:rPr>
          <w:rFonts w:ascii="Calibri" w:hAnsi="Calibri"/>
          <w:b w:val="0"/>
          <w:i w:val="0"/>
          <w:color w:val="1F3340"/>
          <w:sz w:val="22"/>
        </w:rPr>
        <w:t>The Corporation operates or proposes to operate paid services using the trade name QueryClear.</w:t>
      </w:r>
    </w:p>
    <w:p>
      <w:pPr>
        <w:pStyle w:val="ListBullet"/>
      </w:pPr>
      <w:r>
        <w:rPr>
          <w:rFonts w:ascii="Calibri" w:hAnsi="Calibri"/>
          <w:b w:val="0"/>
          <w:i w:val="0"/>
          <w:color w:val="1F3340"/>
          <w:sz w:val="22"/>
        </w:rPr>
        <w:t>The Board has reviewed management's factual representations, counsel's legal-structure concurrence, the CPA's tax/accounting concurrence, projected budgets, compensation and conflict disclosures, and the implementation controls listed below.</w:t>
      </w:r>
    </w:p>
    <w:p>
      <w:pPr>
        <w:pStyle w:val="ListBullet"/>
      </w:pPr>
      <w:r>
        <w:rPr>
          <w:rFonts w:ascii="Calibri" w:hAnsi="Calibri"/>
          <w:b w:val="0"/>
          <w:i w:val="0"/>
          <w:color w:val="1F3340"/>
          <w:sz w:val="22"/>
        </w:rPr>
        <w:t>The Board intends to preserve the Corporation's exempt purposes, prevent private inurement or impermissible private benefit, maintain accurate books and records, and ensure that service fees are not represented as charitable contributions.</w:t>
      </w:r>
    </w:p>
    <w:p>
      <w:pPr>
        <w:pStyle w:val="Heading1"/>
      </w:pPr>
      <w:r>
        <w:t>Resolutions</w:t>
      </w:r>
    </w:p>
    <w:p>
      <w:pPr>
        <w:pStyle w:val="ListNumber"/>
      </w:pPr>
      <w:r>
        <w:rPr>
          <w:rFonts w:ascii="Calibri" w:hAnsi="Calibri"/>
          <w:b w:val="0"/>
          <w:i w:val="0"/>
          <w:color w:val="1F3340"/>
          <w:sz w:val="22"/>
        </w:rPr>
        <w:t>The Board approves QueryClear only under the legal operating structure, conditions, limitations, and effective date stated in the executed counsel concurrence.</w:t>
      </w:r>
    </w:p>
    <w:p>
      <w:pPr>
        <w:pStyle w:val="ListNumber"/>
      </w:pPr>
      <w:r>
        <w:rPr>
          <w:rFonts w:ascii="Calibri" w:hAnsi="Calibri"/>
          <w:b w:val="0"/>
          <w:i w:val="0"/>
          <w:color w:val="1F3340"/>
          <w:sz w:val="22"/>
        </w:rPr>
        <w:t>The Board adopts the revenue classification, entity/fund accounting, expense-allocation method, filing treatment, review triggers, and effective date stated in the executed CPA concurrence.</w:t>
      </w:r>
    </w:p>
    <w:p>
      <w:pPr>
        <w:pStyle w:val="ListNumber"/>
      </w:pPr>
      <w:r>
        <w:rPr>
          <w:rFonts w:ascii="Calibri" w:hAnsi="Calibri"/>
          <w:b w:val="0"/>
          <w:i w:val="0"/>
          <w:color w:val="1F3340"/>
          <w:sz w:val="22"/>
        </w:rPr>
        <w:t>The officers are authorized to register and maintain the QueryClear fictitious name and applicable licenses; align website, contracts, W-9, invoices, bank and Stripe records; and execute approved commercial agreements.</w:t>
      </w:r>
    </w:p>
    <w:p>
      <w:pPr>
        <w:pStyle w:val="ListNumber"/>
      </w:pPr>
      <w:r>
        <w:rPr>
          <w:rFonts w:ascii="Calibri" w:hAnsi="Calibri"/>
          <w:b w:val="0"/>
          <w:i w:val="0"/>
          <w:color w:val="1F3340"/>
          <w:sz w:val="22"/>
        </w:rPr>
        <w:t>Commercial service receipts shall be invoiced and recorded as service revenue and shall not be solicited, acknowledged, or receipted as tax-deductible charitable contributions.</w:t>
      </w:r>
    </w:p>
    <w:p>
      <w:pPr>
        <w:pStyle w:val="ListNumber"/>
      </w:pPr>
      <w:r>
        <w:rPr>
          <w:rFonts w:ascii="Calibri" w:hAnsi="Calibri"/>
          <w:b w:val="0"/>
          <w:i w:val="0"/>
          <w:color w:val="1F3340"/>
          <w:sz w:val="22"/>
        </w:rPr>
        <w:t>All shared personnel, intellectual property, software, equipment, facilities, marketing, and administrative expenses shall be tracked and allocated under the CPA-approved policy, with any intercompany or related-party arrangements documented in writing and on arm's-length terms.</w:t>
      </w:r>
    </w:p>
    <w:p>
      <w:pPr>
        <w:pStyle w:val="ListNumber"/>
      </w:pPr>
      <w:r>
        <w:rPr>
          <w:rFonts w:ascii="Calibri" w:hAnsi="Calibri"/>
          <w:b w:val="0"/>
          <w:i w:val="0"/>
          <w:color w:val="1F3340"/>
          <w:sz w:val="22"/>
        </w:rPr>
        <w:t>Any officer, director, employee, or related person with a financial interest shall disclose it and abstain as required. Compensation and related-party transactions require review by disinterested directors using appropriate comparability information and contemporaneous minutes.</w:t>
      </w:r>
    </w:p>
    <w:p>
      <w:pPr>
        <w:pStyle w:val="ListNumber"/>
      </w:pPr>
      <w:r>
        <w:rPr>
          <w:rFonts w:ascii="Calibri" w:hAnsi="Calibri"/>
          <w:b w:val="0"/>
          <w:i w:val="0"/>
          <w:color w:val="1F3340"/>
          <w:sz w:val="22"/>
        </w:rPr>
        <w:t>Management shall use approved online service terms for self-service products, an MSA and SOW for implementation work, a DPA/security addendum where applicable, accurate privacy and marketing disclosures, and documented refund/cancellation procedures.</w:t>
      </w:r>
    </w:p>
    <w:p>
      <w:pPr>
        <w:pStyle w:val="ListNumber"/>
      </w:pPr>
      <w:r>
        <w:rPr>
          <w:rFonts w:ascii="Calibri" w:hAnsi="Calibri"/>
          <w:b w:val="0"/>
          <w:i w:val="0"/>
          <w:color w:val="1F3340"/>
          <w:sz w:val="22"/>
        </w:rPr>
        <w:t>Management shall maintain durable lead and payment records, secure client reports, least-privilege access, incident response, vendor review, data retention, and documented service-delivery controls.</w:t>
      </w:r>
    </w:p>
    <w:p>
      <w:pPr>
        <w:pStyle w:val="ListNumber"/>
      </w:pPr>
      <w:r>
        <w:rPr>
          <w:rFonts w:ascii="Calibri" w:hAnsi="Calibri"/>
          <w:b w:val="0"/>
          <w:i w:val="0"/>
          <w:color w:val="1F3340"/>
          <w:sz w:val="22"/>
        </w:rPr>
        <w:t>Before scaled promotion, management shall confirm professional insurance, proof substantiation, audit-methodology accuracy, fulfillment capacity, and completion of every launch condition identified by counsel and the CPA.</w:t>
      </w:r>
    </w:p>
    <w:p>
      <w:pPr>
        <w:pStyle w:val="ListNumber"/>
      </w:pPr>
      <w:r>
        <w:rPr>
          <w:rFonts w:ascii="Calibri" w:hAnsi="Calibri"/>
          <w:b w:val="0"/>
          <w:i w:val="0"/>
          <w:color w:val="1F3340"/>
          <w:sz w:val="22"/>
        </w:rPr>
        <w:t>The Board ratifies prior good-faith organizational acts concerning QueryClear only to the extent consistent with these resolutions and directs management to remediate any inconsistency promptly.</w:t>
      </w:r>
    </w:p>
    <w:p>
      <w:pPr>
        <w:pStyle w:val="ListNumber"/>
      </w:pPr>
      <w:r>
        <w:rPr>
          <w:rFonts w:ascii="Calibri" w:hAnsi="Calibri"/>
          <w:b w:val="0"/>
          <w:i w:val="0"/>
          <w:color w:val="1F3340"/>
          <w:sz w:val="22"/>
        </w:rPr>
        <w:t>The Board will review QueryClear at least annually and sooner upon a material change in pricing, revenue, services, ownership, compensation, jurisdictions, data processing, or tax/legal guidance.</w:t>
      </w:r>
    </w:p>
    <w:p>
      <w:pPr>
        <w:pStyle w:val="Heading1"/>
      </w:pPr>
      <w:r>
        <w:t>Incorporated exhibits</w:t>
      </w:r>
    </w:p>
    <w:p>
      <w:pPr>
        <w:pStyle w:val="ListBullet"/>
      </w:pPr>
      <w:r>
        <w:rPr>
          <w:rFonts w:ascii="Calibri" w:hAnsi="Calibri"/>
          <w:b w:val="0"/>
          <w:i w:val="0"/>
          <w:color w:val="1F3340"/>
          <w:sz w:val="22"/>
        </w:rPr>
        <w:t>Exhibit A — Executed Counsel Legal-Structure Review and Concurrence.</w:t>
      </w:r>
    </w:p>
    <w:p>
      <w:pPr>
        <w:pStyle w:val="ListBullet"/>
      </w:pPr>
      <w:r>
        <w:rPr>
          <w:rFonts w:ascii="Calibri" w:hAnsi="Calibri"/>
          <w:b w:val="0"/>
          <w:i w:val="0"/>
          <w:color w:val="1F3340"/>
          <w:sz w:val="22"/>
        </w:rPr>
        <w:t>Exhibit B — Executed CPA Tax and Accounting Position Concurrence.</w:t>
      </w:r>
    </w:p>
    <w:p>
      <w:pPr>
        <w:pStyle w:val="ListBullet"/>
      </w:pPr>
      <w:r>
        <w:rPr>
          <w:rFonts w:ascii="Calibri" w:hAnsi="Calibri"/>
          <w:b w:val="0"/>
          <w:i w:val="0"/>
          <w:color w:val="1F3340"/>
          <w:sz w:val="22"/>
        </w:rPr>
        <w:t>Exhibit C — Executed Management Factual Representations and Implementation Certification.</w:t>
      </w:r>
    </w:p>
    <w:p>
      <w:pPr>
        <w:pStyle w:val="ListBullet"/>
      </w:pPr>
      <w:r>
        <w:rPr>
          <w:rFonts w:ascii="Calibri" w:hAnsi="Calibri"/>
          <w:b w:val="0"/>
          <w:i w:val="0"/>
          <w:color w:val="1F3340"/>
          <w:sz w:val="22"/>
        </w:rPr>
        <w:t>Exhibit D — Approved shared-resource/cost-allocation schedule and compensation/conflict record.</w:t>
      </w:r>
    </w:p>
    <w:p>
      <w:pPr>
        <w:pStyle w:val="Heading1"/>
      </w:pPr>
      <w:r>
        <w:t>Effective date and signatures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Effective date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Meeting / consent record</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Total directors entitled to vote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bl>
    <w:p>
      <w:pPr>
        <w:keepLines w:val="0"/>
      </w:pPr>
      <w:r>
        <w:rPr>
          <w:rFonts w:ascii="Calibri" w:hAnsi="Calibri"/>
          <w:b w:val="0"/>
          <w:i/>
          <w:color w:val="1F3340"/>
          <w:sz w:val="22"/>
        </w:rPr>
        <w:t>Every director entitled to vote must sign. Duplicate this signature page if needed and strike unused blocks before the Secretary certifies the final packet.</w:t>
      </w:r>
    </w:p>
    <w:p>
      <w:pPr>
        <w:pStyle w:val="Heading2"/>
      </w:pPr>
      <w:r>
        <w:t>Director signature block 1</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Signature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   Date: 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Printed name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Conflict disclosed?</w:t>
            </w:r>
          </w:p>
        </w:tc>
        <w:tc>
          <w:tcPr>
            <w:tcW w:type="dxa" w:w="6760"/>
            <w:tcMar>
              <w:top w:w="100" w:type="dxa"/>
              <w:start w:w="120" w:type="dxa"/>
              <w:bottom w:w="100" w:type="dxa"/>
              <w:end w:w="120" w:type="dxa"/>
            </w:tcMar>
            <w:vAlign w:val="center"/>
          </w:tcPr>
          <w:p>
            <w:r>
              <w:rPr>
                <w:rFonts w:ascii="Calibri" w:hAnsi="Calibri"/>
                <w:b w:val="0"/>
                <w:i w:val="0"/>
                <w:color w:val="1F3340"/>
                <w:sz w:val="22"/>
              </w:rPr>
              <w:t>[  ] No   [  ] Yes — disclosure/abstention record attached</w:t>
            </w:r>
          </w:p>
        </w:tc>
      </w:tr>
    </w:tbl>
    <w:p>
      <w:pPr>
        <w:keepLines w:val="0"/>
      </w:pPr>
      <w:r>
        <w:rPr>
          <w:rFonts w:ascii="Calibri" w:hAnsi="Calibri"/>
          <w:b w:val="0"/>
          <w:i/>
          <w:color w:val="1F3340"/>
          <w:sz w:val="22"/>
        </w:rPr>
        <w:t>Electronic signatures and counterparts are permitted to the extent approved by the signer and the Corporation.</w:t>
      </w:r>
    </w:p>
    <w:p>
      <w:pPr>
        <w:pStyle w:val="Heading2"/>
      </w:pPr>
      <w:r>
        <w:t>Director signature block 2</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Signature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   Date: 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Printed name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Conflict disclosed?</w:t>
            </w:r>
          </w:p>
        </w:tc>
        <w:tc>
          <w:tcPr>
            <w:tcW w:type="dxa" w:w="6760"/>
            <w:tcMar>
              <w:top w:w="100" w:type="dxa"/>
              <w:start w:w="120" w:type="dxa"/>
              <w:bottom w:w="100" w:type="dxa"/>
              <w:end w:w="120" w:type="dxa"/>
            </w:tcMar>
            <w:vAlign w:val="center"/>
          </w:tcPr>
          <w:p>
            <w:r>
              <w:rPr>
                <w:rFonts w:ascii="Calibri" w:hAnsi="Calibri"/>
                <w:b w:val="0"/>
                <w:i w:val="0"/>
                <w:color w:val="1F3340"/>
                <w:sz w:val="22"/>
              </w:rPr>
              <w:t>[  ] No   [  ] Yes — disclosure/abstention record attached</w:t>
            </w:r>
          </w:p>
        </w:tc>
      </w:tr>
    </w:tbl>
    <w:p>
      <w:pPr>
        <w:keepLines w:val="0"/>
      </w:pPr>
      <w:r>
        <w:rPr>
          <w:rFonts w:ascii="Calibri" w:hAnsi="Calibri"/>
          <w:b w:val="0"/>
          <w:i/>
          <w:color w:val="1F3340"/>
          <w:sz w:val="22"/>
        </w:rPr>
        <w:t>Electronic signatures and counterparts are permitted to the extent approved by the signer and the Corporation.</w:t>
      </w:r>
    </w:p>
    <w:p>
      <w:r>
        <w:br w:type="page"/>
      </w:r>
    </w:p>
    <w:p>
      <w:pPr>
        <w:pStyle w:val="Heading2"/>
      </w:pPr>
      <w:r>
        <w:t>Director signature block 3</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Signature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   Date: 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Printed name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Conflict disclosed?</w:t>
            </w:r>
          </w:p>
        </w:tc>
        <w:tc>
          <w:tcPr>
            <w:tcW w:type="dxa" w:w="6760"/>
            <w:tcMar>
              <w:top w:w="100" w:type="dxa"/>
              <w:start w:w="120" w:type="dxa"/>
              <w:bottom w:w="100" w:type="dxa"/>
              <w:end w:w="120" w:type="dxa"/>
            </w:tcMar>
            <w:vAlign w:val="center"/>
          </w:tcPr>
          <w:p>
            <w:r>
              <w:rPr>
                <w:rFonts w:ascii="Calibri" w:hAnsi="Calibri"/>
                <w:b w:val="0"/>
                <w:i w:val="0"/>
                <w:color w:val="1F3340"/>
                <w:sz w:val="22"/>
              </w:rPr>
              <w:t>[  ] No   [  ] Yes — disclosure/abstention record attached</w:t>
            </w:r>
          </w:p>
        </w:tc>
      </w:tr>
    </w:tbl>
    <w:p>
      <w:pPr>
        <w:keepLines w:val="0"/>
      </w:pPr>
      <w:r>
        <w:rPr>
          <w:rFonts w:ascii="Calibri" w:hAnsi="Calibri"/>
          <w:b w:val="0"/>
          <w:i/>
          <w:color w:val="1F3340"/>
          <w:sz w:val="22"/>
        </w:rPr>
        <w:t>Electronic signatures and counterparts are permitted to the extent approved by the signer and the Corporation.</w:t>
      </w:r>
    </w:p>
    <w:p>
      <w:pPr>
        <w:pStyle w:val="Heading2"/>
      </w:pPr>
      <w:r>
        <w:t>Director signature block 4</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Signature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   Date: 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Printed name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Conflict disclosed?</w:t>
            </w:r>
          </w:p>
        </w:tc>
        <w:tc>
          <w:tcPr>
            <w:tcW w:type="dxa" w:w="6760"/>
            <w:tcMar>
              <w:top w:w="100" w:type="dxa"/>
              <w:start w:w="120" w:type="dxa"/>
              <w:bottom w:w="100" w:type="dxa"/>
              <w:end w:w="120" w:type="dxa"/>
            </w:tcMar>
            <w:vAlign w:val="center"/>
          </w:tcPr>
          <w:p>
            <w:r>
              <w:rPr>
                <w:rFonts w:ascii="Calibri" w:hAnsi="Calibri"/>
                <w:b w:val="0"/>
                <w:i w:val="0"/>
                <w:color w:val="1F3340"/>
                <w:sz w:val="22"/>
              </w:rPr>
              <w:t>[  ] No   [  ] Yes — disclosure/abstention record attached</w:t>
            </w:r>
          </w:p>
        </w:tc>
      </w:tr>
    </w:tbl>
    <w:p>
      <w:pPr>
        <w:keepLines w:val="0"/>
      </w:pPr>
      <w:r>
        <w:rPr>
          <w:rFonts w:ascii="Calibri" w:hAnsi="Calibri"/>
          <w:b w:val="0"/>
          <w:i/>
          <w:color w:val="1F3340"/>
          <w:sz w:val="22"/>
        </w:rPr>
        <w:t>Electronic signatures and counterparts are permitted to the extent approved by the signer and the Corporation.</w:t>
      </w:r>
    </w:p>
    <w:p>
      <w:r>
        <w:br w:type="page"/>
      </w:r>
    </w:p>
    <w:p>
      <w:pPr>
        <w:pStyle w:val="Heading2"/>
      </w:pPr>
      <w:r>
        <w:t>Director signature block 5</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Signature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   Date: 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Printed name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Conflict disclosed?</w:t>
            </w:r>
          </w:p>
        </w:tc>
        <w:tc>
          <w:tcPr>
            <w:tcW w:type="dxa" w:w="6760"/>
            <w:tcMar>
              <w:top w:w="100" w:type="dxa"/>
              <w:start w:w="120" w:type="dxa"/>
              <w:bottom w:w="100" w:type="dxa"/>
              <w:end w:w="120" w:type="dxa"/>
            </w:tcMar>
            <w:vAlign w:val="center"/>
          </w:tcPr>
          <w:p>
            <w:r>
              <w:rPr>
                <w:rFonts w:ascii="Calibri" w:hAnsi="Calibri"/>
                <w:b w:val="0"/>
                <w:i w:val="0"/>
                <w:color w:val="1F3340"/>
                <w:sz w:val="22"/>
              </w:rPr>
              <w:t>[  ] No   [  ] Yes — disclosure/abstention record attached</w:t>
            </w:r>
          </w:p>
        </w:tc>
      </w:tr>
    </w:tbl>
    <w:p>
      <w:pPr>
        <w:keepLines w:val="0"/>
      </w:pPr>
      <w:r>
        <w:rPr>
          <w:rFonts w:ascii="Calibri" w:hAnsi="Calibri"/>
          <w:b w:val="0"/>
          <w:i/>
          <w:color w:val="1F3340"/>
          <w:sz w:val="22"/>
        </w:rPr>
        <w:t>Electronic signatures and counterparts are permitted to the extent approved by the signer and the Corporation.</w:t>
      </w:r>
    </w:p>
    <w:p>
      <w:pPr>
        <w:pStyle w:val="Heading2"/>
      </w:pPr>
      <w:r>
        <w:t>Director signature block 6</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Signature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   Date: 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Printed name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Conflict disclosed?</w:t>
            </w:r>
          </w:p>
        </w:tc>
        <w:tc>
          <w:tcPr>
            <w:tcW w:type="dxa" w:w="6760"/>
            <w:tcMar>
              <w:top w:w="100" w:type="dxa"/>
              <w:start w:w="120" w:type="dxa"/>
              <w:bottom w:w="100" w:type="dxa"/>
              <w:end w:w="120" w:type="dxa"/>
            </w:tcMar>
            <w:vAlign w:val="center"/>
          </w:tcPr>
          <w:p>
            <w:r>
              <w:rPr>
                <w:rFonts w:ascii="Calibri" w:hAnsi="Calibri"/>
                <w:b w:val="0"/>
                <w:i w:val="0"/>
                <w:color w:val="1F3340"/>
                <w:sz w:val="22"/>
              </w:rPr>
              <w:t>[  ] No   [  ] Yes — disclosure/abstention record attached</w:t>
            </w:r>
          </w:p>
        </w:tc>
      </w:tr>
    </w:tbl>
    <w:p>
      <w:pPr>
        <w:keepLines w:val="0"/>
      </w:pPr>
      <w:r>
        <w:rPr>
          <w:rFonts w:ascii="Calibri" w:hAnsi="Calibri"/>
          <w:b w:val="0"/>
          <w:i/>
          <w:color w:val="1F3340"/>
          <w:sz w:val="22"/>
        </w:rPr>
        <w:t>Electronic signatures and counterparts are permitted to the extent approved by the signer and the Corporation.</w:t>
      </w:r>
    </w:p>
    <w:p>
      <w:r>
        <w:br w:type="page"/>
      </w:r>
    </w:p>
    <w:p>
      <w:pPr>
        <w:pStyle w:val="Heading2"/>
      </w:pPr>
      <w:r>
        <w:t>Secretary certification</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Secretary signature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   Date: 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Printed name</w:t>
            </w:r>
          </w:p>
        </w:tc>
        <w:tc>
          <w:tcPr>
            <w:tcW w:type="dxa" w:w="6760"/>
            <w:tcMar>
              <w:top w:w="100" w:type="dxa"/>
              <w:start w:w="120" w:type="dxa"/>
              <w:bottom w:w="100" w:type="dxa"/>
              <w:end w:w="120" w:type="dxa"/>
            </w:tcMar>
            <w:vAlign w:val="center"/>
          </w:tcPr>
          <w:p>
            <w:r>
              <w:rPr>
                <w:rFonts w:ascii="Calibri" w:hAnsi="Calibri"/>
                <w:b w:val="0"/>
                <w:i w:val="0"/>
                <w:color w:val="1F3340"/>
                <w:sz w:val="22"/>
              </w:rPr>
              <w:t>________________________________________________________________________________</w:t>
            </w:r>
          </w:p>
        </w:tc>
      </w:tr>
      <w:tr>
        <w:trPr>
          <w:cantSplit/>
        </w:trPr>
        <w:tc>
          <w:tcPr>
            <w:tcW w:type="dxa" w:w="2600"/>
            <w:tcMar>
              <w:top w:w="100" w:type="dxa"/>
              <w:start w:w="120" w:type="dxa"/>
              <w:bottom w:w="100" w:type="dxa"/>
              <w:end w:w="120" w:type="dxa"/>
            </w:tcMar>
            <w:vAlign w:val="center"/>
            <w:shd w:fill="F2F4F7"/>
          </w:tcPr>
          <w:p>
            <w:r>
              <w:rPr>
                <w:rFonts w:ascii="Calibri" w:hAnsi="Calibri"/>
                <w:b/>
                <w:i w:val="0"/>
                <w:color w:val="1F3340"/>
                <w:sz w:val="22"/>
              </w:rPr>
              <w:t>Certification</w:t>
            </w:r>
          </w:p>
        </w:tc>
        <w:tc>
          <w:tcPr>
            <w:tcW w:type="dxa" w:w="6760"/>
            <w:tcMar>
              <w:top w:w="100" w:type="dxa"/>
              <w:start w:w="120" w:type="dxa"/>
              <w:bottom w:w="100" w:type="dxa"/>
              <w:end w:w="120" w:type="dxa"/>
            </w:tcMar>
            <w:vAlign w:val="center"/>
          </w:tcPr>
          <w:p>
            <w:r>
              <w:rPr>
                <w:rFonts w:ascii="Calibri" w:hAnsi="Calibri"/>
                <w:b w:val="0"/>
                <w:i w:val="0"/>
                <w:color w:val="1F3340"/>
                <w:sz w:val="22"/>
              </w:rPr>
              <w:t>I certify that the above signatures constitute all directors entitled to vote and that this consent is retained in the corporate records.</w:t>
            </w:r>
          </w:p>
        </w:tc>
      </w:tr>
    </w:tbl>
    <w:p>
      <w:pPr>
        <w:keepLines w:val="0"/>
      </w:pPr>
      <w:r>
        <w:rPr>
          <w:rFonts w:ascii="Calibri" w:hAnsi="Calibri"/>
          <w:b w:val="0"/>
          <w:i/>
          <w:color w:val="1F3340"/>
          <w:sz w:val="22"/>
        </w:rPr>
        <w:t>Electronic signatures and counterparts are permitted to the extent approved by the signer and the Corporation.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C6670"/>
        <w:sz w:val="18"/>
      </w:rPr>
      <w:t xml:space="preserve">Confidential review draft | Page </w:t>
    </w:r>
    <w:r>
      <w:rPr>
        <w:rFonts w:ascii="Calibri" w:hAnsi="Calibri"/>
        <w:b w:val="0"/>
        <w:i w:val="0"/>
        <w:color w:val="5C667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C6670"/>
        <w:sz w:val="18"/>
      </w:rPr>
      <w:t>QueryClear | Governance and Professional Approval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33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3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1F334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i/>
      <w:iCs/>
      <w:color w:val="5C66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