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1F3340"/>
          <w:sz w:val="46"/>
        </w:rPr>
        <w:t>Management Factual Representations and Implementation Certification</w:t>
      </w:r>
    </w:p>
    <w:p>
      <w:pPr>
        <w:pStyle w:val="Subtitle"/>
      </w:pPr>
      <w:r>
        <w:rPr>
          <w:rFonts w:ascii="Calibri" w:hAnsi="Calibri"/>
          <w:b w:val="0"/>
          <w:i w:val="0"/>
          <w:color w:val="5C6670"/>
          <w:sz w:val="26"/>
        </w:rPr>
        <w:t>Facts supplied to counsel, CPA, and the Board concerning QueryClear</w:t>
      </w:r>
    </w:p>
    <w:tbl>
      <w:tblPr>
        <w:tblStyle w:val="TableGrid"/>
        <w:tblW w:type="dxa" w:w="9360"/>
        <w:jc w:val="left"/>
        <w:tblLayout w:type="fixed"/>
        <w:tblLook w:firstColumn="1" w:firstRow="1" w:lastColumn="0" w:lastRow="0" w:noHBand="0" w:noVBand="1" w:val="04A0"/>
        <w:tblInd w:w="120" w:type="dxa"/>
      </w:tblPr>
      <w:tblGrid>
        <w:gridCol w:w="2160"/>
        <w:gridCol w:w="7200"/>
      </w:tblGrid>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Entity</w:t>
            </w:r>
          </w:p>
        </w:tc>
        <w:tc>
          <w:tcPr>
            <w:tcW w:type="dxa" w:w="7200"/>
            <w:tcMar>
              <w:top w:w="100" w:type="dxa"/>
              <w:start w:w="120" w:type="dxa"/>
              <w:bottom w:w="100" w:type="dxa"/>
              <w:end w:w="120" w:type="dxa"/>
            </w:tcMar>
            <w:vAlign w:val="center"/>
          </w:tcPr>
          <w:p>
            <w:r>
              <w:rPr>
                <w:rFonts w:ascii="Calibri" w:hAnsi="Calibri"/>
                <w:b w:val="0"/>
                <w:i w:val="0"/>
                <w:color w:val="1F3340"/>
                <w:sz w:val="22"/>
              </w:rPr>
              <w:t>SparkCreatives Inc., Florida not-for-profit corporation (N25000003997)</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Brand/activity</w:t>
            </w:r>
          </w:p>
        </w:tc>
        <w:tc>
          <w:tcPr>
            <w:tcW w:type="dxa" w:w="7200"/>
            <w:tcMar>
              <w:top w:w="100" w:type="dxa"/>
              <w:start w:w="120" w:type="dxa"/>
              <w:bottom w:w="100" w:type="dxa"/>
              <w:end w:w="120" w:type="dxa"/>
            </w:tcMar>
            <w:vAlign w:val="center"/>
          </w:tcPr>
          <w:p>
            <w:r>
              <w:rPr>
                <w:rFonts w:ascii="Calibri" w:hAnsi="Calibri"/>
                <w:b w:val="0"/>
                <w:i w:val="0"/>
                <w:color w:val="1F3340"/>
                <w:sz w:val="22"/>
              </w:rPr>
              <w:t>QueryClear — commercial website, SEO, and AI-search-readiness services</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Prepared</w:t>
            </w:r>
          </w:p>
        </w:tc>
        <w:tc>
          <w:tcPr>
            <w:tcW w:type="dxa" w:w="7200"/>
            <w:tcMar>
              <w:top w:w="100" w:type="dxa"/>
              <w:start w:w="120" w:type="dxa"/>
              <w:bottom w:w="100" w:type="dxa"/>
              <w:end w:w="120" w:type="dxa"/>
            </w:tcMar>
            <w:vAlign w:val="center"/>
          </w:tcPr>
          <w:p>
            <w:r>
              <w:rPr>
                <w:rFonts w:ascii="Calibri" w:hAnsi="Calibri"/>
                <w:b w:val="0"/>
                <w:i w:val="0"/>
                <w:color w:val="1F3340"/>
                <w:sz w:val="22"/>
              </w:rPr>
              <w:t>August 25, 2026</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Status</w:t>
            </w:r>
          </w:p>
        </w:tc>
        <w:tc>
          <w:tcPr>
            <w:tcW w:type="dxa" w:w="7200"/>
            <w:tcMar>
              <w:top w:w="100" w:type="dxa"/>
              <w:start w:w="120" w:type="dxa"/>
              <w:bottom w:w="100" w:type="dxa"/>
              <w:end w:w="120" w:type="dxa"/>
            </w:tcMar>
            <w:vAlign w:val="center"/>
          </w:tcPr>
          <w:p>
            <w:r>
              <w:rPr>
                <w:rFonts w:ascii="Calibri" w:hAnsi="Calibri"/>
                <w:b w:val="0"/>
                <w:i w:val="0"/>
                <w:color w:val="1F3340"/>
                <w:sz w:val="22"/>
              </w:rPr>
              <w:t>EXECUTION COPY</w:t>
            </w:r>
          </w:p>
        </w:tc>
      </w:tr>
    </w:tbl>
    <w:p/>
    <w:p>
      <w:pPr>
        <w:keepLines w:val="0"/>
      </w:pPr>
      <w:r>
        <w:rPr>
          <w:rFonts w:ascii="Calibri" w:hAnsi="Calibri"/>
          <w:b/>
          <w:i w:val="0"/>
          <w:color w:val="1F3340"/>
          <w:sz w:val="22"/>
        </w:rPr>
        <w:t>Purpose.</w:t>
      </w:r>
      <w:r>
        <w:rPr>
          <w:rFonts w:ascii="Calibri" w:hAnsi="Calibri"/>
          <w:b w:val="0"/>
          <w:i w:val="0"/>
          <w:color w:val="1F3340"/>
          <w:sz w:val="22"/>
        </w:rPr>
        <w:t xml:space="preserve"> Counsel and the CPA may rely on this document only to the extent stated in their respective engagements. Management must correct, supplement, or qualify every item that is incomplete or inaccurate before signing.</w:t>
      </w:r>
    </w:p>
    <w:p>
      <w:pPr>
        <w:pStyle w:val="Heading1"/>
      </w:pPr>
      <w:r>
        <w:t>1. Corporate and commercial facts</w:t>
      </w:r>
    </w:p>
    <w:p>
      <w:pPr>
        <w:pStyle w:val="ListBullet"/>
      </w:pPr>
      <w:r>
        <w:rPr>
          <w:rFonts w:ascii="Calibri" w:hAnsi="Calibri"/>
          <w:b w:val="0"/>
          <w:i w:val="0"/>
          <w:color w:val="1F3340"/>
          <w:sz w:val="22"/>
        </w:rPr>
        <w:t>The legal entity presented as operating QueryClear is SparkCreatives Inc., Florida document number N25000003997, EIN 33-4477854, with principal address 6120 Caladesi Ct, Jacksonville, Florida 32258.</w:t>
      </w:r>
    </w:p>
    <w:p>
      <w:pPr>
        <w:pStyle w:val="ListBullet"/>
      </w:pPr>
      <w:r>
        <w:rPr>
          <w:rFonts w:ascii="Calibri" w:hAnsi="Calibri"/>
          <w:b w:val="0"/>
          <w:i w:val="0"/>
          <w:color w:val="1F3340"/>
          <w:sz w:val="22"/>
        </w:rPr>
        <w:t>QueryClear is not presently represented to customers as a separate incorporated entity. Management will identify any other seller, subsidiary, affiliate, DBA registration, or merchant account in the exceptions schedule.</w:t>
      </w:r>
    </w:p>
    <w:p>
      <w:pPr>
        <w:pStyle w:val="ListBullet"/>
      </w:pPr>
      <w:r>
        <w:rPr>
          <w:rFonts w:ascii="Calibri" w:hAnsi="Calibri"/>
          <w:b w:val="0"/>
          <w:i w:val="0"/>
          <w:color w:val="1F3340"/>
          <w:sz w:val="22"/>
        </w:rPr>
        <w:t>QueryClear provides or proposes to provide paid audits, website optimization, website builds, recurring care, and related services; current public pricing is disclosed in the counsel memorandum.</w:t>
      </w:r>
    </w:p>
    <w:p>
      <w:pPr>
        <w:pStyle w:val="ListBullet"/>
      </w:pPr>
      <w:r>
        <w:rPr>
          <w:rFonts w:ascii="Calibri" w:hAnsi="Calibri"/>
          <w:b w:val="0"/>
          <w:i w:val="0"/>
          <w:color w:val="1F3340"/>
          <w:sz w:val="22"/>
        </w:rPr>
        <w:t>Service fees are intended to be commercial payments, not charitable gifts, and management will not issue charitable contribution acknowledgments for them.</w:t>
      </w:r>
    </w:p>
    <w:p>
      <w:pPr>
        <w:pStyle w:val="ListBullet"/>
      </w:pPr>
      <w:r>
        <w:rPr>
          <w:rFonts w:ascii="Calibri" w:hAnsi="Calibri"/>
          <w:b w:val="0"/>
          <w:i w:val="0"/>
          <w:color w:val="1F3340"/>
          <w:sz w:val="22"/>
        </w:rPr>
        <w:t>Management has disclosed all current and proposed compensation, contractors, related parties, donated assets, shared personnel, shared systems, and intellectual property used by QueryClear.</w:t>
      </w:r>
    </w:p>
    <w:p>
      <w:pPr>
        <w:pStyle w:val="Heading1"/>
      </w:pPr>
      <w:r>
        <w:t>2. Customer, data, and marketing facts</w:t>
      </w:r>
    </w:p>
    <w:p>
      <w:pPr>
        <w:pStyle w:val="ListBullet"/>
      </w:pPr>
      <w:r>
        <w:rPr>
          <w:rFonts w:ascii="Calibri" w:hAnsi="Calibri"/>
          <w:b w:val="0"/>
          <w:i w:val="0"/>
          <w:color w:val="1F3340"/>
          <w:sz w:val="22"/>
        </w:rPr>
        <w:t>The system may process lead identity and contact data, website URLs and crawled public content, technical logs and IP addresses, payment and subscription metadata, attribution fields, prospect data from public sources, email delivery/engagement records, report-view events, and client-access credentials when separately authorized.</w:t>
      </w:r>
    </w:p>
    <w:p>
      <w:pPr>
        <w:pStyle w:val="ListBullet"/>
      </w:pPr>
      <w:r>
        <w:rPr>
          <w:rFonts w:ascii="Calibri" w:hAnsi="Calibri"/>
          <w:b w:val="0"/>
          <w:i w:val="0"/>
          <w:color w:val="1F3340"/>
          <w:sz w:val="22"/>
        </w:rPr>
        <w:t>Current or contemplated providers include Vercel, Cloudflare, Upstash, Resend, Stripe, Microsoft, Apify, OpenAI or another audit runtime/model provider, and other processors disclosed in the maintained vendor register.</w:t>
      </w:r>
    </w:p>
    <w:p>
      <w:pPr>
        <w:pStyle w:val="ListBullet"/>
      </w:pPr>
      <w:r>
        <w:rPr>
          <w:rFonts w:ascii="Calibri" w:hAnsi="Calibri"/>
          <w:b w:val="0"/>
          <w:i w:val="0"/>
          <w:color w:val="1F3340"/>
          <w:sz w:val="22"/>
        </w:rPr>
        <w:t>Management will not knowingly solicit patient records, medical records, passwords, payment-card details, or other unnecessary sensitive data through public forms.</w:t>
      </w:r>
    </w:p>
    <w:p>
      <w:pPr>
        <w:pStyle w:val="ListBullet"/>
      </w:pPr>
      <w:r>
        <w:rPr>
          <w:rFonts w:ascii="Calibri" w:hAnsi="Calibri"/>
          <w:b w:val="0"/>
          <w:i w:val="0"/>
          <w:color w:val="1F3340"/>
          <w:sz w:val="22"/>
        </w:rPr>
        <w:t>All public claims, AI-test labels, case studies, testimonials, logos, credentials, reviews, and outcome metrics will be supported by retained evidence and required permissions. Fictional demonstrations will remain clearly labeled.</w:t>
      </w:r>
    </w:p>
    <w:p>
      <w:pPr>
        <w:pStyle w:val="ListBullet"/>
      </w:pPr>
      <w:r>
        <w:rPr>
          <w:rFonts w:ascii="Calibri" w:hAnsi="Calibri"/>
          <w:b w:val="0"/>
          <w:i w:val="0"/>
          <w:color w:val="1F3340"/>
          <w:sz w:val="22"/>
        </w:rPr>
        <w:t>Cold outreach, telephone activity, tracking, and follow-up cadences will be operated only under the approved jurisdictional, disclosure, suppression, and recordkeeping procedures.</w:t>
      </w:r>
    </w:p>
    <w:p>
      <w:pPr>
        <w:pStyle w:val="Heading1"/>
      </w:pPr>
      <w:r>
        <w:t>3. Exceptions and corrections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Other seller / affiliate / DBA</w:t>
            </w:r>
          </w:p>
        </w:tc>
        <w:tc>
          <w:tcPr>
            <w:tcW w:type="dxa" w:w="6760"/>
            <w:tcMar>
              <w:top w:w="100" w:type="dxa"/>
              <w:start w:w="120" w:type="dxa"/>
              <w:bottom w:w="100" w:type="dxa"/>
              <w:end w:w="120" w:type="dxa"/>
            </w:tcMar>
            <w:vAlign w:val="center"/>
          </w:tcPr>
          <w:p>
            <w:r>
              <w:rPr>
                <w:rFonts w:ascii="Calibri" w:hAnsi="Calibri"/>
                <w:b w:val="0"/>
                <w:i w:val="0"/>
                <w:color w:val="1F3340"/>
                <w:sz w:val="22"/>
              </w:rPr>
              <w:t>None, except: 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Related parties / compensation</w:t>
            </w:r>
          </w:p>
        </w:tc>
        <w:tc>
          <w:tcPr>
            <w:tcW w:type="dxa" w:w="6760"/>
            <w:tcMar>
              <w:top w:w="100" w:type="dxa"/>
              <w:start w:w="120" w:type="dxa"/>
              <w:bottom w:w="100" w:type="dxa"/>
              <w:end w:w="120" w:type="dxa"/>
            </w:tcMar>
            <w:vAlign w:val="center"/>
          </w:tcPr>
          <w:p>
            <w:r>
              <w:rPr>
                <w:rFonts w:ascii="Calibri" w:hAnsi="Calibri"/>
                <w:b w:val="0"/>
                <w:i w:val="0"/>
                <w:color w:val="1F3340"/>
                <w:sz w:val="22"/>
              </w:rPr>
              <w:t>None, except: 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Shared or donated assets</w:t>
            </w:r>
          </w:p>
        </w:tc>
        <w:tc>
          <w:tcPr>
            <w:tcW w:type="dxa" w:w="6760"/>
            <w:tcMar>
              <w:top w:w="100" w:type="dxa"/>
              <w:start w:w="120" w:type="dxa"/>
              <w:bottom w:w="100" w:type="dxa"/>
              <w:end w:w="120" w:type="dxa"/>
            </w:tcMar>
            <w:vAlign w:val="center"/>
          </w:tcPr>
          <w:p>
            <w:r>
              <w:rPr>
                <w:rFonts w:ascii="Calibri" w:hAnsi="Calibri"/>
                <w:b w:val="0"/>
                <w:i w:val="0"/>
                <w:color w:val="1F3340"/>
                <w:sz w:val="22"/>
              </w:rPr>
              <w:t>None, except: 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Outstanding tax / filing issues</w:t>
            </w:r>
          </w:p>
        </w:tc>
        <w:tc>
          <w:tcPr>
            <w:tcW w:type="dxa" w:w="6760"/>
            <w:tcMar>
              <w:top w:w="100" w:type="dxa"/>
              <w:start w:w="120" w:type="dxa"/>
              <w:bottom w:w="100" w:type="dxa"/>
              <w:end w:w="120" w:type="dxa"/>
            </w:tcMar>
            <w:vAlign w:val="center"/>
          </w:tcPr>
          <w:p>
            <w:r>
              <w:rPr>
                <w:rFonts w:ascii="Calibri" w:hAnsi="Calibri"/>
                <w:b w:val="0"/>
                <w:i w:val="0"/>
                <w:color w:val="1F3340"/>
                <w:sz w:val="22"/>
              </w:rPr>
              <w:t>None known, except: 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Claims or disputes</w:t>
            </w:r>
          </w:p>
        </w:tc>
        <w:tc>
          <w:tcPr>
            <w:tcW w:type="dxa" w:w="6760"/>
            <w:tcMar>
              <w:top w:w="100" w:type="dxa"/>
              <w:start w:w="120" w:type="dxa"/>
              <w:bottom w:w="100" w:type="dxa"/>
              <w:end w:w="120" w:type="dxa"/>
            </w:tcMar>
            <w:vAlign w:val="center"/>
          </w:tcPr>
          <w:p>
            <w:r>
              <w:rPr>
                <w:rFonts w:ascii="Calibri" w:hAnsi="Calibri"/>
                <w:b w:val="0"/>
                <w:i w:val="0"/>
                <w:color w:val="1F3340"/>
                <w:sz w:val="22"/>
              </w:rPr>
              <w:t>None known, except: 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Data / security incidents</w:t>
            </w:r>
          </w:p>
        </w:tc>
        <w:tc>
          <w:tcPr>
            <w:tcW w:type="dxa" w:w="6760"/>
            <w:tcMar>
              <w:top w:w="100" w:type="dxa"/>
              <w:start w:w="120" w:type="dxa"/>
              <w:bottom w:w="100" w:type="dxa"/>
              <w:end w:w="120" w:type="dxa"/>
            </w:tcMar>
            <w:vAlign w:val="center"/>
          </w:tcPr>
          <w:p>
            <w:r>
              <w:rPr>
                <w:rFonts w:ascii="Calibri" w:hAnsi="Calibri"/>
                <w:b w:val="0"/>
                <w:i w:val="0"/>
                <w:color w:val="1F3340"/>
                <w:sz w:val="22"/>
              </w:rPr>
              <w:t>None known, except: 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Other material qualification</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pStyle w:val="Heading1"/>
      </w:pPr>
      <w:r>
        <w:t>4. Implementation certification</w:t>
      </w:r>
    </w:p>
    <w:p>
      <w:pPr>
        <w:keepLines w:val="0"/>
      </w:pPr>
      <w:r>
        <w:rPr>
          <w:rFonts w:ascii="Calibri" w:hAnsi="Calibri"/>
          <w:b w:val="0"/>
          <w:i/>
          <w:color w:val="1F3340"/>
          <w:sz w:val="22"/>
        </w:rPr>
        <w:t>Management shall initial each completed control and leave incomplete controls uninitialed.</w:t>
      </w:r>
    </w:p>
    <w:tbl>
      <w:tblPr>
        <w:tblStyle w:val="TableGrid"/>
        <w:tblW w:type="dxa" w:w="9360"/>
        <w:jc w:val="left"/>
        <w:tblLayout w:type="fixed"/>
        <w:tblLook w:firstColumn="1" w:firstRow="1" w:lastColumn="0" w:lastRow="0" w:noHBand="0" w:noVBand="1" w:val="04A0"/>
        <w:tblInd w:w="120" w:type="dxa"/>
      </w:tblPr>
      <w:tblGrid>
        <w:gridCol w:w="900"/>
        <w:gridCol w:w="7080"/>
        <w:gridCol w:w="1380"/>
      </w:tblGrid>
      <w:tr>
        <w:trPr>
          <w:cantSplit/>
        </w:trPr>
        <w:tc>
          <w:tcPr>
            <w:tcW w:type="dxa" w:w="900"/>
            <w:tcMar>
              <w:top w:w="100" w:type="dxa"/>
              <w:start w:w="120" w:type="dxa"/>
              <w:bottom w:w="100" w:type="dxa"/>
              <w:end w:w="120" w:type="dxa"/>
            </w:tcMar>
            <w:vAlign w:val="center"/>
            <w:shd w:fill="F2F4F7"/>
          </w:tcPr>
          <w:p>
            <w:r>
              <w:rPr>
                <w:rFonts w:ascii="Calibri" w:hAnsi="Calibri"/>
                <w:b/>
                <w:i w:val="0"/>
                <w:color w:val="1F3340"/>
                <w:sz w:val="22"/>
              </w:rPr>
              <w:t>Initials</w:t>
            </w:r>
          </w:p>
        </w:tc>
        <w:tc>
          <w:tcPr>
            <w:tcW w:type="dxa" w:w="7080"/>
            <w:tcMar>
              <w:top w:w="100" w:type="dxa"/>
              <w:start w:w="120" w:type="dxa"/>
              <w:bottom w:w="100" w:type="dxa"/>
              <w:end w:w="120" w:type="dxa"/>
            </w:tcMar>
            <w:vAlign w:val="center"/>
            <w:shd w:fill="F2F4F7"/>
          </w:tcPr>
          <w:p>
            <w:r>
              <w:rPr>
                <w:rFonts w:ascii="Calibri" w:hAnsi="Calibri"/>
                <w:b/>
                <w:i w:val="0"/>
                <w:color w:val="1F3340"/>
                <w:sz w:val="22"/>
              </w:rPr>
              <w:t>Control</w:t>
            </w:r>
          </w:p>
        </w:tc>
        <w:tc>
          <w:tcPr>
            <w:tcW w:type="dxa" w:w="1380"/>
            <w:tcMar>
              <w:top w:w="100" w:type="dxa"/>
              <w:start w:w="120" w:type="dxa"/>
              <w:bottom w:w="100" w:type="dxa"/>
              <w:end w:w="120" w:type="dxa"/>
            </w:tcMar>
            <w:vAlign w:val="center"/>
            <w:shd w:fill="F2F4F7"/>
          </w:tcPr>
          <w:p>
            <w:r>
              <w:rPr>
                <w:rFonts w:ascii="Calibri" w:hAnsi="Calibri"/>
                <w:b/>
                <w:i w:val="0"/>
                <w:color w:val="1F3340"/>
                <w:sz w:val="22"/>
              </w:rPr>
              <w:t>Date</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Counsel concurrence executed and all launch conditions completed.</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CPA concurrence executed; ledger, allocations, filings, and review calendar configured.</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Board written consent executed and retained in the minute book.</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QueryClear fictitious name and required business licenses verified or registered.</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Legal seller aligned across website, Terms, Privacy, contracts, W-9, invoices, Stripe, bank, and email.</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Online service terms use recorded clickwrap; MSA/SOW and DPA/security addendum are in use as applicable.</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Refund, cancellation, chargeback, subscription, and customer-portal paths were tested end to end.</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Leads and Stripe events are stored durably with idempotency, retries, reconciliation, and alerts.</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Real client reports require authenticated or signed expiring access and are not publicly cached.</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Public audit claims match the documented live/modelled methodology; URL fetching is SSRF-hardened.</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Privacy notice, retention schedule, subprocessor list, incident response, access control, and outbound procedures are current.</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Professional/E&amp;O and cyber insurance requirements were completed or expressly waived by the Board after advice.</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Case-study/testimonial evidence and releases are retained; no fictional proof is presented as real.</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r>
        <w:trPr>
          <w:cantSplit/>
        </w:trPr>
        <w:tc>
          <w:tcPr>
            <w:tcW w:type="dxa" w:w="900"/>
            <w:tcMar>
              <w:top w:w="100" w:type="dxa"/>
              <w:start w:w="120" w:type="dxa"/>
              <w:bottom w:w="100" w:type="dxa"/>
              <w:end w:w="120" w:type="dxa"/>
            </w:tcMar>
            <w:vAlign w:val="center"/>
          </w:tcPr>
          <w:p>
            <w:r>
              <w:rPr>
                <w:rFonts w:ascii="Calibri" w:hAnsi="Calibri"/>
                <w:b w:val="0"/>
                <w:i w:val="0"/>
                <w:color w:val="1F3340"/>
                <w:sz w:val="22"/>
              </w:rPr>
              <w:t>________</w:t>
            </w:r>
          </w:p>
        </w:tc>
        <w:tc>
          <w:tcPr>
            <w:tcW w:type="dxa" w:w="7080"/>
            <w:tcMar>
              <w:top w:w="100" w:type="dxa"/>
              <w:start w:w="120" w:type="dxa"/>
              <w:bottom w:w="100" w:type="dxa"/>
              <w:end w:w="120" w:type="dxa"/>
            </w:tcMar>
            <w:vAlign w:val="center"/>
          </w:tcPr>
          <w:p>
            <w:r>
              <w:rPr>
                <w:rFonts w:ascii="Calibri" w:hAnsi="Calibri"/>
                <w:b w:val="0"/>
                <w:i w:val="0"/>
                <w:color w:val="1F3340"/>
                <w:sz w:val="22"/>
              </w:rPr>
              <w:t>Service scopes, capacity, QA, staging, backup, rollback, analytics, handoff, and support SOPs are operational.</w:t>
            </w:r>
          </w:p>
        </w:tc>
        <w:tc>
          <w:tcPr>
            <w:tcW w:type="dxa" w:w="1380"/>
            <w:tcMar>
              <w:top w:w="100" w:type="dxa"/>
              <w:start w:w="120" w:type="dxa"/>
              <w:bottom w:w="100" w:type="dxa"/>
              <w:end w:w="120" w:type="dxa"/>
            </w:tcMar>
            <w:vAlign w:val="center"/>
          </w:tcPr>
          <w:p>
            <w:r>
              <w:rPr>
                <w:rFonts w:ascii="Calibri" w:hAnsi="Calibri"/>
                <w:b w:val="0"/>
                <w:i w:val="0"/>
                <w:color w:val="1F3340"/>
                <w:sz w:val="22"/>
              </w:rPr>
              <w:t>__________</w:t>
            </w:r>
          </w:p>
        </w:tc>
      </w:tr>
    </w:tbl>
    <w:p>
      <w:pPr>
        <w:pStyle w:val="Heading1"/>
      </w:pPr>
      <w:r>
        <w:t>5. Management certification</w:t>
      </w:r>
    </w:p>
    <w:p>
      <w:pPr>
        <w:keepLines w:val="0"/>
      </w:pPr>
      <w:r>
        <w:rPr>
          <w:rFonts w:ascii="Calibri" w:hAnsi="Calibri"/>
          <w:b w:val="0"/>
          <w:i w:val="0"/>
          <w:color w:val="1F3340"/>
          <w:sz w:val="22"/>
        </w:rPr>
        <w:t>The undersigned certify that they reviewed this document, made reasonable inquiry, disclosed all material facts known to them, and will promptly notify counsel, the CPA, and the Board of any material correction or change. This certification does not replace the independent duties of any professional or director.</w:t>
      </w:r>
    </w:p>
    <w:p>
      <w:pPr>
        <w:pStyle w:val="Heading2"/>
      </w:pPr>
      <w:r>
        <w:t>Authorized officer</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 / title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keepLines w:val="0"/>
      </w:pPr>
      <w:r>
        <w:rPr>
          <w:rFonts w:ascii="Calibri" w:hAnsi="Calibri"/>
          <w:b w:val="0"/>
          <w:i/>
          <w:color w:val="1F3340"/>
          <w:sz w:val="22"/>
        </w:rPr>
        <w:t>Electronic signatures and counterparts are permitted to the extent approved by the signer and the Corporation.</w:t>
      </w:r>
    </w:p>
    <w:p>
      <w:pPr>
        <w:pStyle w:val="Heading2"/>
      </w:pPr>
      <w:r>
        <w:t>QueryClear operating lead</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 / title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keepLines w:val="0"/>
      </w:pPr>
      <w:r>
        <w:rPr>
          <w:rFonts w:ascii="Calibri" w:hAnsi="Calibri"/>
          <w:b w:val="0"/>
          <w:i/>
          <w:color w:val="1F3340"/>
          <w:sz w:val="22"/>
        </w:rPr>
        <w:t>Electronic signatures and counterparts are permitted to the extent approved by the signer and the Corporation.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670"/>
        <w:sz w:val="18"/>
      </w:rPr>
      <w:t xml:space="preserve">Confidential execution copy | Page </w:t>
    </w:r>
    <w:r>
      <w:rPr>
        <w:rFonts w:ascii="Calibri" w:hAnsi="Calibri"/>
        <w:b w:val="0"/>
        <w:i w:val="0"/>
        <w:color w:val="5C66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670"/>
        <w:sz w:val="18"/>
      </w:rPr>
      <w:t>QueryClear | Governance and Professional Approval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33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F33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i/>
      <w:iCs/>
      <w:color w:val="5C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