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8851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8851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pageBreakBefore w:val="0"/>
        <w:pBdr>
          <w:top w:space="0" w:sz="0" w:val="nil"/>
          <w:left w:space="0" w:sz="0" w:val="nil"/>
          <w:bottom w:space="0" w:sz="0" w:val="nil"/>
          <w:right w:space="0" w:sz="0" w:val="nil"/>
          <w:between w:space="0" w:sz="0" w:val="nil"/>
        </w:pBdr>
        <w:shd w:fill="auto" w:val="clear"/>
        <w:rPr>
          <w:color w:val="980000"/>
        </w:rPr>
      </w:pPr>
      <w:bookmarkStart w:colFirst="0" w:colLast="0" w:name="_au51mny0sx6" w:id="0"/>
      <w:bookmarkEnd w:id="0"/>
      <w:r w:rsidDel="00000000" w:rsidR="00000000" w:rsidRPr="00000000">
        <w:rPr>
          <w:color w:val="980000"/>
          <w:rtl w:val="0"/>
        </w:rPr>
        <w:t xml:space="preserve">Overview</w:t>
      </w:r>
      <w:r w:rsidDel="00000000" w:rsidR="00000000" w:rsidRPr="00000000">
        <w:rPr>
          <w:rtl w:val="0"/>
        </w:rPr>
      </w:r>
    </w:p>
    <w:p w:rsidR="00000000" w:rsidDel="00000000" w:rsidP="00000000" w:rsidRDefault="00000000" w:rsidRPr="00000000" w14:paraId="00000003">
      <w:pPr>
        <w:spacing w:after="240" w:before="0" w:lineRule="auto"/>
        <w:rPr/>
      </w:pPr>
      <w:r w:rsidDel="00000000" w:rsidR="00000000" w:rsidRPr="00000000">
        <w:rPr>
          <w:rtl w:val="0"/>
        </w:rPr>
        <w:t xml:space="preserve">EIS Group Lattice‑9 is a highly sophisticated, state-sponsored cyber espionage group believed to have been active since the early 2000s. It specializes in long-term intelligence collection against high-value targets, maintaining persistent access for months or even years with minimal detection.</w:t>
      </w:r>
    </w:p>
    <w:p w:rsidR="00000000" w:rsidDel="00000000" w:rsidP="00000000" w:rsidRDefault="00000000" w:rsidRPr="00000000" w14:paraId="00000004">
      <w:pPr>
        <w:spacing w:after="240" w:before="0" w:lineRule="auto"/>
        <w:rPr/>
      </w:pPr>
      <w:r w:rsidDel="00000000" w:rsidR="00000000" w:rsidRPr="00000000">
        <w:rPr>
          <w:rtl w:val="0"/>
        </w:rPr>
        <w:t xml:space="preserve">The group is known for its exceptional OPSEC, advanced custom malware tooling, and creative use of stealth techniques. EIS Group Lattice‑9 demonstrates elite capabilities in blending into compromised environments, living off the land, and adapting quickly to defensive measures.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rFonts w:ascii="Open Sans" w:cs="Open Sans" w:eastAsia="Open Sans" w:hAnsi="Open Sans"/>
          <w:b w:val="1"/>
          <w:bCs w:val="1"/>
          <w:color w:val="980000"/>
          <w:sz w:val="26"/>
          <w:szCs w:val="26"/>
        </w:rPr>
      </w:pPr>
      <w:bookmarkStart w:colFirst="0" w:colLast="0" w:name="_3at9u9s4e0vp" w:id="1"/>
      <w:bookmarkEnd w:id="1"/>
      <w:r w:rsidDel="00000000" w:rsidR="00000000" w:rsidRPr="00000000">
        <w:rPr>
          <w:color w:val="980000"/>
          <w:rtl w:val="0"/>
        </w:rPr>
        <w:t xml:space="preserve">Goals</w:t>
      </w: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EIS Group Lattice‑9</w:t>
      </w:r>
      <w:r w:rsidDel="00000000" w:rsidR="00000000" w:rsidRPr="00000000">
        <w:rPr>
          <w:rtl w:val="0"/>
        </w:rPr>
        <w:t xml:space="preserve"> operates with long-term strategic objectives rather than short-term disruption. Its primary goals include:</w:t>
      </w:r>
    </w:p>
    <w:p w:rsidR="00000000" w:rsidDel="00000000" w:rsidP="00000000" w:rsidRDefault="00000000" w:rsidRPr="00000000" w14:paraId="00000008">
      <w:pPr>
        <w:numPr>
          <w:ilvl w:val="0"/>
          <w:numId w:val="1"/>
        </w:numPr>
        <w:spacing w:after="0" w:afterAutospacing="0" w:before="240" w:lineRule="auto"/>
        <w:ind w:left="720" w:hanging="360"/>
        <w:rPr/>
      </w:pPr>
      <w:r w:rsidDel="00000000" w:rsidR="00000000" w:rsidRPr="00000000">
        <w:rPr>
          <w:rtl w:val="0"/>
        </w:rPr>
        <w:t xml:space="preserve">Persistent Intelligence Collection: Maintain uninterrupted access to high-value networks for months or years to continuously harvest sensitive data.</w:t>
      </w:r>
    </w:p>
    <w:p w:rsidR="00000000" w:rsidDel="00000000" w:rsidP="00000000" w:rsidRDefault="00000000" w:rsidRPr="00000000" w14:paraId="00000009">
      <w:pPr>
        <w:numPr>
          <w:ilvl w:val="0"/>
          <w:numId w:val="1"/>
        </w:numPr>
        <w:spacing w:after="0" w:afterAutospacing="0" w:before="0" w:beforeAutospacing="0" w:lineRule="auto"/>
        <w:ind w:left="720" w:hanging="360"/>
        <w:rPr/>
      </w:pPr>
      <w:r w:rsidDel="00000000" w:rsidR="00000000" w:rsidRPr="00000000">
        <w:rPr>
          <w:rtl w:val="0"/>
        </w:rPr>
        <w:t xml:space="preserve">Diplomatic &amp; Political Espionage: Steal classified communications, negotiation documents, and internal policy papers from foreign governments, embassies, and international organizations.</w:t>
      </w:r>
    </w:p>
    <w:p w:rsidR="00000000" w:rsidDel="00000000" w:rsidP="00000000" w:rsidRDefault="00000000" w:rsidRPr="00000000" w14:paraId="0000000A">
      <w:pPr>
        <w:numPr>
          <w:ilvl w:val="0"/>
          <w:numId w:val="1"/>
        </w:numPr>
        <w:spacing w:after="0" w:afterAutospacing="0" w:before="0" w:beforeAutospacing="0" w:lineRule="auto"/>
        <w:ind w:left="720" w:hanging="360"/>
        <w:rPr/>
      </w:pPr>
      <w:r w:rsidDel="00000000" w:rsidR="00000000" w:rsidRPr="00000000">
        <w:rPr>
          <w:rtl w:val="0"/>
        </w:rPr>
        <w:t xml:space="preserve">Military &amp; Defense Intelligence: Gather technical specifications, weapon system designs, troop movements, and strategic planning from defense ministries and contractors.</w:t>
      </w:r>
    </w:p>
    <w:p w:rsidR="00000000" w:rsidDel="00000000" w:rsidP="00000000" w:rsidRDefault="00000000" w:rsidRPr="00000000" w14:paraId="0000000B">
      <w:pPr>
        <w:numPr>
          <w:ilvl w:val="0"/>
          <w:numId w:val="1"/>
        </w:numPr>
        <w:spacing w:after="0" w:afterAutospacing="0" w:before="0" w:beforeAutospacing="0" w:lineRule="auto"/>
        <w:ind w:left="720" w:hanging="360"/>
        <w:rPr/>
      </w:pPr>
      <w:r w:rsidDel="00000000" w:rsidR="00000000" w:rsidRPr="00000000">
        <w:rPr>
          <w:rtl w:val="0"/>
        </w:rPr>
        <w:t xml:space="preserve">Research &amp; Technology Theft: Target universities, research institutes, and private companies working on advanced technologies (AI, quantum computing, biotechnology, energy, and aerospace).</w:t>
      </w:r>
    </w:p>
    <w:p w:rsidR="00000000" w:rsidDel="00000000" w:rsidP="00000000" w:rsidRDefault="00000000" w:rsidRPr="00000000" w14:paraId="0000000C">
      <w:pPr>
        <w:numPr>
          <w:ilvl w:val="0"/>
          <w:numId w:val="1"/>
        </w:numPr>
        <w:spacing w:after="0" w:afterAutospacing="0" w:before="0" w:beforeAutospacing="0" w:lineRule="auto"/>
        <w:ind w:left="720" w:hanging="360"/>
        <w:rPr/>
      </w:pPr>
      <w:r w:rsidDel="00000000" w:rsidR="00000000" w:rsidRPr="00000000">
        <w:rPr>
          <w:rtl w:val="0"/>
        </w:rPr>
        <w:t xml:space="preserve">Geopolitical Monitoring: Track activities of NATO-aligned nations, regional adversaries, and international alliances to support national strategic decision-making.</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Counter-Intelligence: Identify and monitor foreign cyber operations targeting their own nation or allies.</w:t>
      </w:r>
      <w:r w:rsidDel="00000000" w:rsidR="00000000" w:rsidRPr="00000000">
        <w:rPr>
          <w:rtl w:val="0"/>
        </w:rPr>
      </w:r>
    </w:p>
    <w:p w:rsidR="00000000" w:rsidDel="00000000" w:rsidP="00000000" w:rsidRDefault="00000000" w:rsidRPr="00000000" w14:paraId="0000000E">
      <w:pPr>
        <w:pStyle w:val="Heading1"/>
        <w:pageBreakBefore w:val="0"/>
        <w:pBdr>
          <w:top w:space="0" w:sz="0" w:val="nil"/>
          <w:left w:space="0" w:sz="0" w:val="nil"/>
          <w:bottom w:space="0" w:sz="0" w:val="nil"/>
          <w:right w:space="0" w:sz="0" w:val="nil"/>
          <w:between w:space="0" w:sz="0" w:val="nil"/>
        </w:pBdr>
        <w:shd w:fill="auto" w:val="clear"/>
        <w:rPr>
          <w:color w:val="980000"/>
        </w:rPr>
      </w:pPr>
      <w:bookmarkStart w:colFirst="0" w:colLast="0" w:name="_4p7xi5bvhxdr" w:id="2"/>
      <w:bookmarkEnd w:id="2"/>
      <w:r w:rsidDel="00000000" w:rsidR="00000000" w:rsidRPr="00000000">
        <w:rPr>
          <w:color w:val="980000"/>
          <w:rtl w:val="0"/>
        </w:rPr>
        <w:t xml:space="preserve">TTP’s</w:t>
      </w:r>
      <w:r w:rsidDel="00000000" w:rsidR="00000000" w:rsidRPr="00000000">
        <w:rPr>
          <w:rtl w:val="0"/>
        </w:rPr>
      </w:r>
    </w:p>
    <w:p w:rsidR="00000000" w:rsidDel="00000000" w:rsidP="00000000" w:rsidRDefault="00000000" w:rsidRPr="00000000" w14:paraId="0000000F">
      <w:pPr>
        <w:spacing w:after="240" w:before="0" w:lineRule="auto"/>
        <w:rPr/>
      </w:pPr>
      <w:r w:rsidDel="00000000" w:rsidR="00000000" w:rsidRPr="00000000">
        <w:rPr>
          <w:rtl w:val="0"/>
        </w:rPr>
        <w:t xml:space="preserve">EIS Group Lattice‑9 employs mature, disciplined tradecraft emphasizing living-off-the-land (LOTL) techniques and minimal custom code on disk:</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Initial access via spearphishing or compromised external services.</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Execution and persistence through native Windows LOLBins (e.g., PowerShell, certutil, rundll32, regsvr32, schtasks).</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Privilege escalation via process injection and token creation/manipulation.</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Credential access and account discovery using built-in tools.</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Lateral movement through legitimate remote services.</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Defense evasion through fileless operation, log clearing, and masquerading.</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rtl w:val="0"/>
        </w:rPr>
        <w:t xml:space="preserve">Data collection focused on email servers and file share storage.</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Command-and-control and exfiltration via encrypted, malleable channels that mimic legitimate web traffic. All activity is designed for low-volume, high-value collection to avoid triggering alerts.</w:t>
      </w:r>
    </w:p>
    <w:p w:rsidR="00000000" w:rsidDel="00000000" w:rsidP="00000000" w:rsidRDefault="00000000" w:rsidRPr="00000000" w14:paraId="00000018">
      <w:pPr>
        <w:pStyle w:val="Heading1"/>
        <w:rPr>
          <w:color w:val="980000"/>
        </w:rPr>
      </w:pPr>
      <w:bookmarkStart w:colFirst="0" w:colLast="0" w:name="_ds0is3qauhv2" w:id="3"/>
      <w:bookmarkEnd w:id="3"/>
      <w:r w:rsidDel="00000000" w:rsidR="00000000" w:rsidRPr="00000000">
        <w:rPr>
          <w:color w:val="980000"/>
          <w:rtl w:val="0"/>
        </w:rPr>
        <w:t xml:space="preserve">Tool’s</w:t>
      </w:r>
    </w:p>
    <w:p w:rsidR="00000000" w:rsidDel="00000000" w:rsidP="00000000" w:rsidRDefault="00000000" w:rsidRPr="00000000" w14:paraId="00000019">
      <w:pPr>
        <w:numPr>
          <w:ilvl w:val="0"/>
          <w:numId w:val="2"/>
        </w:numPr>
        <w:spacing w:after="0" w:afterAutospacing="0"/>
        <w:ind w:left="720" w:hanging="360"/>
        <w:rPr/>
      </w:pPr>
      <w:r w:rsidDel="00000000" w:rsidR="00000000" w:rsidRPr="00000000">
        <w:rPr>
          <w:rtl w:val="0"/>
        </w:rPr>
        <w:t xml:space="preserve">Primary C2: Customized Havoc C2 framework with Demon-style implants for cross-platform compatibility and flexible beaconing.</w:t>
      </w:r>
    </w:p>
    <w:p w:rsidR="00000000" w:rsidDel="00000000" w:rsidP="00000000" w:rsidRDefault="00000000" w:rsidRPr="00000000" w14:paraId="0000001A">
      <w:pPr>
        <w:numPr>
          <w:ilvl w:val="0"/>
          <w:numId w:val="2"/>
        </w:numPr>
        <w:spacing w:after="0" w:afterAutospacing="0" w:before="0" w:beforeAutospacing="0"/>
        <w:ind w:left="720" w:hanging="360"/>
        <w:rPr/>
      </w:pPr>
      <w:r w:rsidDel="00000000" w:rsidR="00000000" w:rsidRPr="00000000">
        <w:rPr>
          <w:rtl w:val="0"/>
        </w:rPr>
        <w:t xml:space="preserve">LOLBins &amp; Native Tools: PowerShell, cmd.exe, ssh.exe,certutil.exe, wmic, net.exe, schtasks.exe, and registry modifications for all post-exploitation phases.</w:t>
      </w:r>
    </w:p>
    <w:p w:rsidR="00000000" w:rsidDel="00000000" w:rsidP="00000000" w:rsidRDefault="00000000" w:rsidRPr="00000000" w14:paraId="0000001B">
      <w:pPr>
        <w:numPr>
          <w:ilvl w:val="0"/>
          <w:numId w:val="2"/>
        </w:numPr>
        <w:spacing w:before="0" w:beforeAutospacing="0"/>
        <w:ind w:left="720" w:hanging="360"/>
        <w:rPr/>
      </w:pPr>
      <w:r w:rsidDel="00000000" w:rsidR="00000000" w:rsidRPr="00000000">
        <w:rPr>
          <w:rtl w:val="0"/>
        </w:rPr>
        <w:t xml:space="preserve">Custom Implants: Lightweight, fileless beacons tailored for persistence and data collection; no heavy malware dropped on disk.</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pStyle w:val="Heading1"/>
        <w:spacing w:after="240" w:before="0" w:lineRule="auto"/>
        <w:rPr>
          <w:color w:val="980000"/>
        </w:rPr>
      </w:pPr>
      <w:bookmarkStart w:colFirst="0" w:colLast="0" w:name="_722rfj9g351d" w:id="4"/>
      <w:bookmarkEnd w:id="4"/>
      <w:r w:rsidDel="00000000" w:rsidR="00000000" w:rsidRPr="00000000">
        <w:rPr>
          <w:color w:val="980000"/>
          <w:rtl w:val="0"/>
        </w:rPr>
        <w:t xml:space="preserve">Successful Campaigns</w:t>
      </w:r>
    </w:p>
    <w:p w:rsidR="00000000" w:rsidDel="00000000" w:rsidP="00000000" w:rsidRDefault="00000000" w:rsidRPr="00000000" w14:paraId="0000001E">
      <w:pPr>
        <w:numPr>
          <w:ilvl w:val="0"/>
          <w:numId w:val="4"/>
        </w:numPr>
        <w:spacing w:after="0" w:afterAutospacing="0"/>
        <w:ind w:left="720" w:hanging="360"/>
        <w:rPr>
          <w:u w:val="none"/>
        </w:rPr>
      </w:pPr>
      <w:r w:rsidDel="00000000" w:rsidR="00000000" w:rsidRPr="00000000">
        <w:rPr>
          <w:rtl w:val="0"/>
        </w:rPr>
        <w:t xml:space="preserve">European Diplomatic Network (2023–2024): Maintained undetected access for 14 months; exfiltrated sensitive email correspondence from a foreign ministry server.</w:t>
      </w:r>
    </w:p>
    <w:p w:rsidR="00000000" w:rsidDel="00000000" w:rsidP="00000000" w:rsidRDefault="00000000" w:rsidRPr="00000000" w14:paraId="0000001F">
      <w:pPr>
        <w:numPr>
          <w:ilvl w:val="0"/>
          <w:numId w:val="4"/>
        </w:numPr>
        <w:spacing w:after="0" w:afterAutospacing="0" w:before="0" w:beforeAutospacing="0"/>
        <w:ind w:left="720" w:hanging="360"/>
        <w:rPr>
          <w:u w:val="none"/>
        </w:rPr>
      </w:pPr>
      <w:r w:rsidDel="00000000" w:rsidR="00000000" w:rsidRPr="00000000">
        <w:rPr>
          <w:rtl w:val="0"/>
        </w:rPr>
        <w:t xml:space="preserve">Asian Energy Sector Target (2024): Compromised an industrial control network partner; collected operational emails daily for 9 months before quietly withdrawing upon routine maintenance.</w:t>
      </w:r>
    </w:p>
    <w:p w:rsidR="00000000" w:rsidDel="00000000" w:rsidP="00000000" w:rsidRDefault="00000000" w:rsidRPr="00000000" w14:paraId="00000020">
      <w:pPr>
        <w:numPr>
          <w:ilvl w:val="0"/>
          <w:numId w:val="4"/>
        </w:numPr>
        <w:spacing w:before="0" w:beforeAutospacing="0"/>
        <w:ind w:left="720" w:hanging="360"/>
        <w:rPr>
          <w:u w:val="none"/>
        </w:rPr>
      </w:pPr>
      <w:r w:rsidDel="00000000" w:rsidR="00000000" w:rsidRPr="00000000">
        <w:rPr>
          <w:rtl w:val="0"/>
        </w:rPr>
        <w:t xml:space="preserve">U.S. Partner Government Agency (2025): Established persistence via external email gateway; conducted low-volume data staging and exfiltration for 7 months until discovered by internal hunting team.</w:t>
      </w:r>
    </w:p>
    <w:p w:rsidR="00000000" w:rsidDel="00000000" w:rsidP="00000000" w:rsidRDefault="00000000" w:rsidRPr="00000000" w14:paraId="00000021">
      <w:pPr>
        <w:ind w:left="1440" w:firstLine="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sectPr>
      <w:headerReference r:id="rId7" w:type="default"/>
      <w:headerReference r:id="rId8" w:type="first"/>
      <w:footerReference r:id="rId9" w:type="first"/>
      <w:pgSz w:h="15840" w:w="12240" w:orient="portrait"/>
      <w:pgMar w:bottom="1080" w:top="108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ans Narrow">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5"/>
    <w:bookmarkEnd w:id="5"/>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32287"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en"/>
      </w:rPr>
    </w:rPrDefault>
    <w:pPrDefault>
      <w:pPr>
        <w:spacing w:before="12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bCs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bCs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