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B05 — Capstone</w:t>
      </w:r>
    </w:p>
    <w:p>
      <w:pPr>
        <w:pStyle w:val="Heading2"/>
      </w:pPr>
      <w:r>
        <w:rPr/>
        <w:t>Purpose</w:t>
      </w:r>
    </w:p>
    <w:p>
      <w:pPr/>
      <w:r>
        <w:rPr/>
        <w:t>Integrate TLO-1 through TLO-5 in a culminating capstone assessment after B01–B04.</w:t>
      </w:r>
    </w:p>
    <w:p>
      <w:pPr>
        <w:pStyle w:val="Heading2"/>
      </w:pPr>
      <w:r>
        <w:rPr/>
        <w:t>Objective coverage</w:t>
      </w:r>
    </w:p>
    <w:p>
      <w:pPr/>
      <w:r>
        <w:rPr/>
        <w:t xml:space="preserve">This Block integrates </w:t>
      </w:r>
      <w:r>
        <w:rPr>
          <w:b/>
        </w:rPr>
        <w:t>TLO-1 through TLO-5</w:t>
      </w:r>
      <w:r>
        <w:rPr/>
        <w:t xml:space="preserve"> after B04.</w:t>
      </w:r>
    </w:p>
    <w:p>
      <w:pPr>
        <w:pStyle w:val="Heading2"/>
      </w:pPr>
      <w:r>
        <w:rPr/>
        <w:t>Module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Seq.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B05.M01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assessment</w:t>
            </w:r>
          </w:p>
        </w:tc>
        <w:tc>
          <w:tcPr>
            <w:tcW w:type="dxa" w:w="1728"/>
          </w:tcPr>
          <w:p>
            <w:pPr/>
            <w:r>
              <w:rPr/>
              <w:t>Capstone Assessment</w:t>
            </w:r>
          </w:p>
        </w:tc>
        <w:tc>
          <w:tcPr>
            <w:tcW w:type="dxa" w:w="1728"/>
          </w:tcPr>
          <w:p>
            <w:pPr/>
            <w:r>
              <w:rPr/>
              <w:t>B05.M01 — Capstone Assessment</w:t>
            </w:r>
          </w:p>
        </w:tc>
      </w:tr>
    </w:tbl>
    <w:p>
      <w:pPr/>
      <w:r>
        <w:rPr/>
        <w:t xml:space="preserve">The ordered list above is the Block delivery sequence. See </w:t>
      </w:r>
      <w:r>
        <w:rPr/>
        <w:t>block.yaml</w:t>
      </w:r>
      <w:r>
        <w:rPr/>
        <w:t xml:space="preserve"> for secondary TLO reinforcement.</w:t>
      </w:r>
    </w:p>
    <w:p>
      <w:pPr>
        <w:pStyle w:val="Heading2"/>
      </w:pPr>
      <w:r>
        <w:rPr/>
        <w:t>Shared materials</w:t>
      </w:r>
    </w:p>
    <w:p>
      <w:pPr>
        <w:pStyle w:val="ListBullet"/>
      </w:pPr>
      <w:r>
        <w:rPr/>
        <w:t xml:space="preserve">Missing range/JQS references: </w:t>
      </w:r>
      <w:r>
        <w:rPr/>
        <w:t>Capstone source inventory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