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HTB Academy Prerequisites</w:t>
      </w:r>
    </w:p>
    <w:p>
      <w:pPr/>
      <w:r>
        <w:rPr/>
        <w:t xml:space="preserve">Course-wide Hack The Box (HTB) Academy preparation. These packages are </w:t>
      </w:r>
      <w:r>
        <w:rPr>
          <w:b/>
        </w:rPr>
        <w:t>not</w:t>
      </w:r>
      <w:r>
        <w:rPr/>
        <w:t xml:space="preserve"> assigned Modules and are </w:t>
      </w:r>
      <w:r>
        <w:rPr>
          <w:b/>
        </w:rPr>
        <w:t>not</w:t>
      </w:r>
      <w:r>
        <w:rPr/>
        <w:t xml:space="preserve"> on the in-residence delivery schedule. Complete them before the instructor-led Block sequence.</w:t>
      </w:r>
    </w:p>
    <w:p>
      <w:pPr/>
      <w:r>
        <w:rPr/>
        <w:t xml:space="preserve">They are not a Block. Do not give them </w:t>
      </w:r>
      <w:r>
        <w:rPr>
          <w:rFonts w:ascii="Consolas" w:hAnsi="Consolas"/>
        </w:rPr>
        <w:t>B0N.M##</w:t>
      </w:r>
      <w:r>
        <w:rPr/>
        <w:t xml:space="preserve"> IDs. The only in-class HTB exercise left is </w:t>
      </w:r>
      <w:r>
        <w:rPr/>
        <w:t>B02.M15 — Access Group Exercise</w:t>
      </w:r>
      <w:r>
        <w:rPr/>
        <w:t xml:space="preserve"> (Access Group Exercise). It is not on the hourly schedule. A team that finishes the Block 2 group activity early may use the remaining time on it.</w:t>
      </w:r>
    </w:p>
    <w:p>
      <w:pPr>
        <w:pStyle w:val="Heading2"/>
      </w:pPr>
      <w:r>
        <w:rPr/>
        <w:t>How to use these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65F91"/>
          </w:tcPr>
          <w:p>
            <w:pPr/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4320"/>
            <w:shd w:val="clear" w:color="auto" w:fill="365F91"/>
          </w:tcPr>
          <w:p>
            <w:pPr/>
            <w:r>
              <w:rPr>
                <w:b/>
                <w:color w:val="FFFFFF"/>
              </w:rPr>
              <w:t>Start with</w:t>
            </w:r>
          </w:p>
        </w:tc>
      </w:tr>
      <w:tr>
        <w:tc>
          <w:tcPr>
            <w:tcW w:type="dxa" w:w="4320"/>
          </w:tcPr>
          <w:p>
            <w:pPr/>
            <w:r>
              <w:rPr/>
              <w:t>Students</w:t>
            </w:r>
          </w:p>
        </w:tc>
        <w:tc>
          <w:tcPr>
            <w:tcW w:type="dxa" w:w="4320"/>
          </w:tcPr>
          <w:p>
            <w:pPr/>
            <w:r>
              <w:rPr>
                <w:rFonts w:ascii="Consolas" w:hAnsi="Consolas"/>
              </w:rPr>
              <w:t>homework.md</w:t>
            </w:r>
            <w:r>
              <w:rPr/>
              <w:t xml:space="preserve"> in each folder</w:t>
            </w:r>
          </w:p>
        </w:tc>
      </w:tr>
      <w:tr>
        <w:tc>
          <w:tcPr>
            <w:tcW w:type="dxa" w:w="4320"/>
          </w:tcPr>
          <w:p>
            <w:pPr/>
            <w:r>
              <w:rPr/>
              <w:t>Instructors framing the work</w:t>
            </w:r>
          </w:p>
        </w:tc>
        <w:tc>
          <w:tcPr>
            <w:tcW w:type="dxa" w:w="4320"/>
          </w:tcPr>
          <w:p>
            <w:pPr/>
            <w:r>
              <w:rPr>
                <w:rFonts w:ascii="Consolas" w:hAnsi="Consolas"/>
              </w:rPr>
              <w:t>content-guide.md</w:t>
            </w:r>
            <w:r>
              <w:rPr/>
              <w:t xml:space="preserve"> (introductions and review talking points)</w:t>
            </w:r>
          </w:p>
        </w:tc>
      </w:tr>
      <w:tr>
        <w:tc>
          <w:tcPr>
            <w:tcW w:type="dxa" w:w="4320"/>
          </w:tcPr>
          <w:p>
            <w:pPr/>
            <w:r>
              <w:rPr/>
              <w:t>Instructors walking a live HTB target</w:t>
            </w:r>
          </w:p>
        </w:tc>
        <w:tc>
          <w:tcPr>
            <w:tcW w:type="dxa" w:w="4320"/>
          </w:tcPr>
          <w:p>
            <w:pPr/>
            <w:r>
              <w:rPr>
                <w:rFonts w:ascii="Consolas" w:hAnsi="Consolas"/>
              </w:rPr>
              <w:t>instructor-guide.md</w:t>
            </w:r>
          </w:p>
        </w:tc>
      </w:tr>
    </w:tbl>
    <w:p>
      <w:pPr/>
      <w:r>
        <w:rPr/>
        <w:t>Work from the HTB-provided Pwnbox or an instructor-approved attack platform on the HTB VPN. Spawn only the assigned Academy section targets. Do not interact with systems outside that scope.</w:t>
      </w:r>
    </w:p>
    <w:p>
      <w:pPr/>
      <w:r>
        <w:rPr/>
        <w:t>Confirm the current target at the start of each lab-backed session:</w:t>
      </w:r>
    </w:p>
    <w:p>
      <w:pPr/>
      <w:r>
        <w:rPr/>
        <w:t>```bash</w:t>
      </w:r>
    </w:p>
    <w:p>
      <w:pPr/>
      <w:r>
        <w:rPr/>
        <w:t>export TGT=&lt;assigned_target_ip&gt;</w:t>
      </w:r>
    </w:p>
    <w:p>
      <w:pPr/>
      <w:r>
        <w:rPr/>
        <w:t>ip -br addr</w:t>
      </w:r>
    </w:p>
    <w:p>
      <w:pPr/>
      <w:r>
        <w:rPr/>
        <w:t>echo "$TGT"</w:t>
      </w:r>
    </w:p>
    <w:p>
      <w:pPr/>
      <w:r>
        <w:rPr/>
        <w:t>```</w:t>
      </w:r>
    </w:p>
    <w:p>
      <w:pPr/>
      <w:r>
        <w:rPr/>
        <w:t>HTB target IPs are per-student and may change if you return later.</w:t>
      </w:r>
    </w:p>
    <w:p>
      <w:pPr>
        <w:pStyle w:val="Heading2"/>
      </w:pPr>
      <w:r>
        <w:rPr/>
        <w:t>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HTB Academy work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Student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Instructor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Corporate OSINT</w:t>
            </w:r>
          </w:p>
        </w:tc>
        <w:tc>
          <w:tcPr>
            <w:tcW w:type="dxa" w:w="2160"/>
          </w:tcPr>
          <w:p>
            <w:pPr/>
            <w:r>
              <w:rPr/>
              <w:t>Corporate OSINT — Infrastructure and Leaks only</w:t>
            </w:r>
          </w:p>
        </w:tc>
        <w:tc>
          <w:tcPr>
            <w:tcW w:type="dxa" w:w="2160"/>
          </w:tcPr>
          <w:p>
            <w:pPr/>
            <w:r>
              <w:rPr/>
              <w:t>Corporate OSINT — Homework</w:t>
            </w:r>
          </w:p>
        </w:tc>
        <w:tc>
          <w:tcPr>
            <w:tcW w:type="dxa" w:w="2160"/>
          </w:tcPr>
          <w:p>
            <w:pPr/>
            <w:r>
              <w:rPr/>
              <w:t>Corporate OSINT</w:t>
            </w:r>
            <w:r>
              <w:rPr/>
              <w:t xml:space="preserve">, </w:t>
            </w:r>
            <w:r>
              <w:rPr/>
              <w:t>Corporate OSINT — Instructor Guide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Network Enumeration with Nmap</w:t>
            </w:r>
          </w:p>
        </w:tc>
        <w:tc>
          <w:tcPr>
            <w:tcW w:type="dxa" w:w="2160"/>
          </w:tcPr>
          <w:p>
            <w:pPr/>
            <w:r>
              <w:rPr/>
              <w:t>Network Enumeration with Nmap (full module)</w:t>
            </w:r>
          </w:p>
        </w:tc>
        <w:tc>
          <w:tcPr>
            <w:tcW w:type="dxa" w:w="2160"/>
          </w:tcPr>
          <w:p>
            <w:pPr/>
            <w:r>
              <w:rPr/>
              <w:t>Network Enumeration with Nmap — Homework</w:t>
            </w:r>
          </w:p>
        </w:tc>
        <w:tc>
          <w:tcPr>
            <w:tcW w:type="dxa" w:w="2160"/>
          </w:tcPr>
          <w:p>
            <w:pPr/>
            <w:r>
              <w:rPr/>
              <w:t>Network Enumeration with Nmap</w:t>
            </w:r>
            <w:r>
              <w:rPr/>
              <w:t xml:space="preserve">, </w:t>
            </w:r>
            <w:r>
              <w:rPr/>
              <w:t>Network Enumeration with Nmap — Instructor Guide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Using the Metasploit Framework</w:t>
            </w:r>
          </w:p>
        </w:tc>
        <w:tc>
          <w:tcPr>
            <w:tcW w:type="dxa" w:w="2160"/>
          </w:tcPr>
          <w:p>
            <w:pPr/>
            <w:r>
              <w:rPr/>
              <w:t>Using the Metasploit Framework (assigned sections)</w:t>
            </w:r>
          </w:p>
        </w:tc>
        <w:tc>
          <w:tcPr>
            <w:tcW w:type="dxa" w:w="2160"/>
          </w:tcPr>
          <w:p>
            <w:pPr/>
            <w:r>
              <w:rPr/>
              <w:t>Using the Metasploit Framework — Homework</w:t>
            </w:r>
          </w:p>
        </w:tc>
        <w:tc>
          <w:tcPr>
            <w:tcW w:type="dxa" w:w="2160"/>
          </w:tcPr>
          <w:p>
            <w:pPr/>
            <w:r>
              <w:rPr/>
              <w:t>Using the Metasploit Framework</w:t>
            </w:r>
            <w:r>
              <w:rPr/>
              <w:t xml:space="preserve">, </w:t>
            </w:r>
            <w:r>
              <w:rPr/>
              <w:t>Using the Metasploit Framework — Instructor Guide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Gaining Access</w:t>
            </w:r>
          </w:p>
        </w:tc>
        <w:tc>
          <w:tcPr>
            <w:tcW w:type="dxa" w:w="2160"/>
          </w:tcPr>
          <w:p>
            <w:pPr/>
            <w:r>
              <w:rPr/>
              <w:t>Five boxes across SQL Injection, File Upload, Common Services, and Common Applications</w:t>
            </w:r>
          </w:p>
        </w:tc>
        <w:tc>
          <w:tcPr>
            <w:tcW w:type="dxa" w:w="2160"/>
          </w:tcPr>
          <w:p>
            <w:pPr/>
            <w:r>
              <w:rPr/>
              <w:t>Gaining Access — Homework</w:t>
            </w:r>
          </w:p>
        </w:tc>
        <w:tc>
          <w:tcPr>
            <w:tcW w:type="dxa" w:w="2160"/>
          </w:tcPr>
          <w:p>
            <w:pPr/>
            <w:r>
              <w:rPr/>
              <w:t>Gaining Access</w:t>
            </w:r>
            <w:r>
              <w:rPr/>
              <w:t xml:space="preserve">, </w:t>
            </w:r>
            <w:r>
              <w:rPr/>
              <w:t>Gaining Access — Instructor Guide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Pivoting, Tunneling, and Port Forwarding</w:t>
            </w:r>
          </w:p>
        </w:tc>
        <w:tc>
          <w:tcPr>
            <w:tcW w:type="dxa" w:w="2160"/>
          </w:tcPr>
          <w:p>
            <w:pPr/>
            <w:r>
              <w:rPr/>
              <w:t>Four assigned sections; Skills Assessment excluded</w:t>
            </w:r>
          </w:p>
        </w:tc>
        <w:tc>
          <w:tcPr>
            <w:tcW w:type="dxa" w:w="2160"/>
          </w:tcPr>
          <w:p>
            <w:pPr/>
            <w:r>
              <w:rPr/>
              <w:t>Pivoting, Tunneling, and Port Forwarding — Homework</w:t>
            </w:r>
          </w:p>
        </w:tc>
        <w:tc>
          <w:tcPr>
            <w:tcW w:type="dxa" w:w="2160"/>
          </w:tcPr>
          <w:p>
            <w:pPr/>
            <w:r>
              <w:rPr/>
              <w:t>Pivoting, Tunneling, and Port Forwarding</w:t>
            </w:r>
            <w:r>
              <w:rPr/>
              <w:t xml:space="preserve">, </w:t>
            </w:r>
            <w:r>
              <w:rPr/>
              <w:t>Pivoting, Tunneling, and Port Forwarding — Instructor Guide</w:t>
            </w:r>
          </w:p>
        </w:tc>
      </w:tr>
    </w:tbl>
    <w:p>
      <w:pPr/>
      <w:r>
        <w:rPr/>
        <w:t>Use the live HTB Academy pages as the technical source. Course files supply mission framing, assigned scope, and evidence expectations. Do not paste Academy page text into course documents.</w:t>
      </w:r>
    </w:p>
    <w:p>
      <w:pPr/>
      <w:r>
        <w:rPr/>
        <w:t xml:space="preserve">Shared OSINT targeting doctrine used by the Corporate OSINT package: </w:t>
      </w:r>
      <w:r>
        <w:rPr/>
        <w:t>DCO Counter-Strike: Target Acquisition &amp; Infrastructure Analysis</w:t>
      </w:r>
      <w:r>
        <w:rPr/>
        <w:t>.</w:t>
      </w:r>
    </w:p>
    <w:p>
      <w:pPr>
        <w:pStyle w:val="Heading2"/>
      </w:pPr>
      <w:r>
        <w:rPr/>
        <w:t>Other required pre-course reads (not HTB)</w:t>
      </w:r>
    </w:p>
    <w:p>
      <w:pPr/>
      <w:r>
        <w:rPr/>
        <w:t xml:space="preserve">Two ESET threat reports are also required before day 1. They are </w:t>
      </w:r>
      <w:r>
        <w:rPr>
          <w:b/>
        </w:rPr>
        <w:t>not</w:t>
      </w:r>
      <w:r>
        <w:rPr/>
        <w:t xml:space="preserve"> HTB Academy packages and must </w:t>
      </w:r>
      <w:r>
        <w:rPr>
          <w:b/>
        </w:rPr>
        <w:t>not</w:t>
      </w:r>
      <w:r>
        <w:rPr/>
        <w:t xml:space="preserve"> receive Module IDs. Titles, filenames, and how students obtain the PDFs are on the syllabus (</w:t>
      </w:r>
      <w:r>
        <w:rPr/>
        <w:t>Counter Strike Operations Course Overview</w:t>
      </w:r>
      <w:r>
        <w:rPr/>
        <w:t xml:space="preserve"> Read-aheads).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