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B02 — Maneuvering to the Target</w:t>
      </w:r>
    </w:p>
    <w:p>
      <w:pPr>
        <w:pStyle w:val="Heading2"/>
      </w:pPr>
      <w:r>
        <w:rPr/>
        <w:t>Purpose</w:t>
      </w:r>
    </w:p>
    <w:p>
      <w:pPr/>
      <w:r>
        <w:rPr/>
        <w:t>Develop operator tradecraft for information gathering, open-source research, initial access, tunneling, city-coded target access, and maneuver through target infrastructure.</w:t>
      </w:r>
    </w:p>
    <w:p>
      <w:pPr>
        <w:pStyle w:val="Heading2"/>
      </w:pPr>
      <w:r>
        <w:rPr/>
        <w:t>Objective coverage</w:t>
      </w:r>
    </w:p>
    <w:p>
      <w:pPr/>
      <w:r>
        <w:rPr/>
        <w:t xml:space="preserve">This delivery Block supports </w:t>
      </w:r>
      <w:r>
        <w:rPr>
          <w:b/>
        </w:rPr>
        <w:t>TLO-2 and TLO-4</w:t>
      </w:r>
      <w:r>
        <w:rPr/>
        <w:t xml:space="preserve">. See </w:t>
      </w:r>
      <w:r>
        <w:rPr>
          <w:rFonts w:ascii="Consolas" w:hAnsi="Consolas"/>
        </w:rPr>
        <w:t>block.yaml</w:t>
      </w:r>
      <w:r>
        <w:rPr/>
        <w:t xml:space="preserve"> for the authoritative TLO and ELO references.</w:t>
      </w:r>
    </w:p>
    <w:p>
      <w:pPr>
        <w:pStyle w:val="Heading2"/>
      </w:pPr>
      <w:r>
        <w:rPr/>
        <w:t>Module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Seq.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Information Gathering and Reconnaissance</w:t>
            </w:r>
          </w:p>
        </w:tc>
        <w:tc>
          <w:tcPr>
            <w:tcW w:type="dxa" w:w="1728"/>
          </w:tcPr>
          <w:p>
            <w:pPr/>
            <w:r>
              <w:rPr/>
              <w:t>B02.M01 — Information Gathering and Reconnaissance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Open-Source Ecosystem</w:t>
            </w:r>
          </w:p>
        </w:tc>
        <w:tc>
          <w:tcPr>
            <w:tcW w:type="dxa" w:w="1728"/>
          </w:tcPr>
          <w:p>
            <w:pPr/>
            <w:r>
              <w:rPr/>
              <w:t>B02.M02 — Open-Source Ecosystem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Gaining Access</w:t>
            </w:r>
          </w:p>
        </w:tc>
        <w:tc>
          <w:tcPr>
            <w:tcW w:type="dxa" w:w="1728"/>
          </w:tcPr>
          <w:p>
            <w:pPr/>
            <w:r>
              <w:rPr/>
              <w:t>B02.M03 — Gaining Access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Tunneling and Pivot</w:t>
            </w:r>
          </w:p>
        </w:tc>
        <w:tc>
          <w:tcPr>
            <w:tcW w:type="dxa" w:w="1728"/>
          </w:tcPr>
          <w:p>
            <w:pPr/>
            <w:r>
              <w:rPr/>
              <w:t>B02.M04 — Tunneling and Pivot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Philadelphia</w:t>
            </w:r>
          </w:p>
        </w:tc>
        <w:tc>
          <w:tcPr>
            <w:tcW w:type="dxa" w:w="1728"/>
          </w:tcPr>
          <w:p>
            <w:pPr/>
            <w:r>
              <w:rPr/>
              <w:t>B02.M05 — Philadelphia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Jacksonville</w:t>
            </w:r>
          </w:p>
        </w:tc>
        <w:tc>
          <w:tcPr>
            <w:tcW w:type="dxa" w:w="1728"/>
          </w:tcPr>
          <w:p>
            <w:pPr/>
            <w:r>
              <w:rPr/>
              <w:t>B02.M06 — Jacksonville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Chicago</w:t>
            </w:r>
          </w:p>
        </w:tc>
        <w:tc>
          <w:tcPr>
            <w:tcW w:type="dxa" w:w="1728"/>
          </w:tcPr>
          <w:p>
            <w:pPr/>
            <w:r>
              <w:rPr/>
              <w:t>B02.M07 — Chicago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Charlotte</w:t>
            </w:r>
          </w:p>
        </w:tc>
        <w:tc>
          <w:tcPr>
            <w:tcW w:type="dxa" w:w="1728"/>
          </w:tcPr>
          <w:p>
            <w:pPr/>
            <w:r>
              <w:rPr/>
              <w:t>B02.M08 — Charlotte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B02.M09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Indianapolis</w:t>
            </w:r>
          </w:p>
        </w:tc>
        <w:tc>
          <w:tcPr>
            <w:tcW w:type="dxa" w:w="1728"/>
          </w:tcPr>
          <w:p>
            <w:pPr/>
            <w:r>
              <w:rPr/>
              <w:t>B02.M09 — Indianapolis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Houston</w:t>
            </w:r>
          </w:p>
        </w:tc>
        <w:tc>
          <w:tcPr>
            <w:tcW w:type="dxa" w:w="1728"/>
          </w:tcPr>
          <w:p>
            <w:pPr/>
            <w:r>
              <w:rPr/>
              <w:t>B02.M10 — Houston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Austin</w:t>
            </w:r>
          </w:p>
        </w:tc>
        <w:tc>
          <w:tcPr>
            <w:tcW w:type="dxa" w:w="1728"/>
          </w:tcPr>
          <w:p>
            <w:pPr/>
            <w:r>
              <w:rPr/>
              <w:t>B02.M11 — Austin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Columbus</w:t>
            </w:r>
          </w:p>
        </w:tc>
        <w:tc>
          <w:tcPr>
            <w:tcW w:type="dxa" w:w="1728"/>
          </w:tcPr>
          <w:p>
            <w:pPr/>
            <w:r>
              <w:rPr/>
              <w:t>B02.M12 — Columbus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Phoenix</w:t>
            </w:r>
          </w:p>
        </w:tc>
        <w:tc>
          <w:tcPr>
            <w:tcW w:type="dxa" w:w="1728"/>
          </w:tcPr>
          <w:p>
            <w:pPr/>
            <w:r>
              <w:rPr/>
              <w:t>B02.M13 — Phoenix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Dallas</w:t>
            </w:r>
          </w:p>
        </w:tc>
        <w:tc>
          <w:tcPr>
            <w:tcW w:type="dxa" w:w="1728"/>
          </w:tcPr>
          <w:p>
            <w:pPr/>
            <w:r>
              <w:rPr/>
              <w:t>B02.M14 — Dallas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Access Group Exercise</w:t>
            </w:r>
          </w:p>
        </w:tc>
        <w:tc>
          <w:tcPr>
            <w:tcW w:type="dxa" w:w="1728"/>
          </w:tcPr>
          <w:p>
            <w:pPr/>
            <w:r>
              <w:rPr/>
              <w:t>B02.M15 — Access Group Exercise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B02.M16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Web-to-SQL Group Exercise</w:t>
            </w:r>
          </w:p>
        </w:tc>
        <w:tc>
          <w:tcPr>
            <w:tcW w:type="dxa" w:w="1728"/>
          </w:tcPr>
          <w:p>
            <w:pPr/>
            <w:r>
              <w:rPr/>
              <w:t>B02.M16 — Web-to-SQL Group Exercise</w:t>
            </w:r>
          </w:p>
        </w:tc>
      </w:tr>
    </w:tbl>
    <w:p>
      <w:pPr/>
      <w:r>
        <w:rPr/>
        <w:t xml:space="preserve">The ordered list above is the Block delivery sequence. See </w:t>
      </w:r>
      <w:r>
        <w:rPr/>
        <w:t>block.yaml</w:t>
      </w:r>
      <w:r>
        <w:rPr/>
        <w:t xml:space="preserve"> for secondary TLO reinforcement.</w:t>
      </w:r>
    </w:p>
    <w:p>
      <w:pPr>
        <w:pStyle w:val="Heading2"/>
      </w:pPr>
      <w:r>
        <w:rPr/>
        <w:t>Shared materials</w:t>
      </w:r>
    </w:p>
    <w:p>
      <w:pPr>
        <w:pStyle w:val="ListBullet"/>
      </w:pPr>
      <w:r>
        <w:rPr/>
        <w:t xml:space="preserve">Shared references and scenario material: </w:t>
      </w:r>
      <w:r>
        <w:rPr/>
        <w:t>shared</w:t>
      </w:r>
    </w:p>
    <w:p>
      <w:pPr>
        <w:pStyle w:val="ListBullet"/>
      </w:pPr>
      <w:r>
        <w:rPr/>
        <w:t xml:space="preserve">Retired or provenance files: </w:t>
      </w:r>
      <w:r>
        <w:rPr/>
        <w:t>archive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