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B03 — Situational Awareness in Different Operating Contexts</w:t>
      </w:r>
    </w:p>
    <w:p>
      <w:pPr>
        <w:pStyle w:val="Heading2"/>
      </w:pPr>
      <w:r>
        <w:rPr/>
        <w:t>Purpose</w:t>
      </w:r>
    </w:p>
    <w:p>
      <w:pPr/>
      <w:r>
        <w:rPr/>
        <w:t>Establish and maintain situational awareness across constrained, virtualized, Windows, hybrid, and resource-limited operating contexts.</w:t>
      </w:r>
    </w:p>
    <w:p>
      <w:pPr>
        <w:pStyle w:val="Heading2"/>
      </w:pPr>
      <w:r>
        <w:rPr/>
        <w:t>Objective coverage</w:t>
      </w:r>
    </w:p>
    <w:p>
      <w:pPr/>
      <w:r>
        <w:rPr/>
        <w:t xml:space="preserve">This delivery Block supports </w:t>
      </w:r>
      <w:r>
        <w:rPr>
          <w:b/>
        </w:rPr>
        <w:t>TLO-1 and TLO-4</w:t>
      </w:r>
      <w:r>
        <w:rPr/>
        <w:t xml:space="preserve">. See </w:t>
      </w:r>
      <w:r>
        <w:rPr>
          <w:rFonts w:ascii="Consolas" w:hAnsi="Consolas"/>
        </w:rPr>
        <w:t>block.yaml</w:t>
      </w:r>
      <w:r>
        <w:rPr/>
        <w:t xml:space="preserve"> for the authoritative TLO and ELO references.</w:t>
      </w:r>
    </w:p>
    <w:p>
      <w:pPr>
        <w:pStyle w:val="Heading2"/>
      </w:pPr>
      <w:r>
        <w:rPr/>
        <w:t>Module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Seq.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B03.M01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lecture</w:t>
            </w:r>
          </w:p>
        </w:tc>
        <w:tc>
          <w:tcPr>
            <w:tcW w:type="dxa" w:w="1728"/>
          </w:tcPr>
          <w:p>
            <w:pPr/>
            <w:r>
              <w:rPr/>
              <w:t>Situational Awareness in Constrained Environments</w:t>
            </w:r>
          </w:p>
        </w:tc>
        <w:tc>
          <w:tcPr>
            <w:tcW w:type="dxa" w:w="1728"/>
          </w:tcPr>
          <w:p>
            <w:pPr/>
            <w:r>
              <w:rPr/>
              <w:t>B03.M01 — Situational Awareness in Constrained Environments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B03.M02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Foundational Situational Awareness</w:t>
            </w:r>
          </w:p>
        </w:tc>
        <w:tc>
          <w:tcPr>
            <w:tcW w:type="dxa" w:w="1728"/>
          </w:tcPr>
          <w:p>
            <w:pPr/>
            <w:r>
              <w:rPr/>
              <w:t>B03.M02 — Foundational Situational Awareness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B03.M03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Filesystem and Kernel-Level Restrictions</w:t>
            </w:r>
          </w:p>
        </w:tc>
        <w:tc>
          <w:tcPr>
            <w:tcW w:type="dxa" w:w="1728"/>
          </w:tcPr>
          <w:p>
            <w:pPr/>
            <w:r>
              <w:rPr/>
              <w:t>B03.M03 — Filesystem and Kernel-Level Restrictions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B03.M04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Virtualized and Abstracted Environments</w:t>
            </w:r>
          </w:p>
        </w:tc>
        <w:tc>
          <w:tcPr>
            <w:tcW w:type="dxa" w:w="1728"/>
          </w:tcPr>
          <w:p>
            <w:pPr/>
            <w:r>
              <w:rPr/>
              <w:t>B03.M04 — Virtualized and Abstracted Environments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B03.M05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Windows and Hybrid Environments</w:t>
            </w:r>
          </w:p>
        </w:tc>
        <w:tc>
          <w:tcPr>
            <w:tcW w:type="dxa" w:w="1728"/>
          </w:tcPr>
          <w:p>
            <w:pPr/>
            <w:r>
              <w:rPr/>
              <w:t>B03.M05 — Windows and Hybrid Environments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B03.M06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Resource and State-Constrained Systems</w:t>
            </w:r>
          </w:p>
        </w:tc>
        <w:tc>
          <w:tcPr>
            <w:tcW w:type="dxa" w:w="1728"/>
          </w:tcPr>
          <w:p>
            <w:pPr/>
            <w:r>
              <w:rPr/>
              <w:t>B03.M06 — Resource and State-Constrained Systems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lab</w:t>
            </w:r>
          </w:p>
        </w:tc>
        <w:tc>
          <w:tcPr>
            <w:tcW w:type="dxa" w:w="1728"/>
          </w:tcPr>
          <w:p>
            <w:pPr/>
            <w:r>
              <w:rPr/>
              <w:t>SquidLab</w:t>
            </w:r>
          </w:p>
        </w:tc>
        <w:tc>
          <w:tcPr>
            <w:tcW w:type="dxa" w:w="1728"/>
          </w:tcPr>
          <w:p>
            <w:pPr/>
            <w:r>
              <w:rPr/>
              <w:t>B03.M08 — SquidLab</w:t>
            </w:r>
          </w:p>
        </w:tc>
      </w:tr>
      <w:tr>
        <w:tc>
          <w:tcPr>
            <w:tcW w:type="dxa" w:w="1728"/>
          </w:tcPr>
          <w:p>
            <w:pPr/>
            <w:r>
              <w:rPr/>
              <w:t>8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B03.M07</w:t>
            </w:r>
          </w:p>
        </w:tc>
        <w:tc>
          <w:tcPr>
            <w:tcW w:type="dxa" w:w="1728"/>
          </w:tcPr>
          <w:p>
            <w:pPr/>
            <w:r>
              <w:rPr>
                <w:rFonts w:ascii="Consolas" w:hAnsi="Consolas"/>
              </w:rPr>
              <w:t>assessment</w:t>
            </w:r>
          </w:p>
        </w:tc>
        <w:tc>
          <w:tcPr>
            <w:tcW w:type="dxa" w:w="1728"/>
          </w:tcPr>
          <w:p>
            <w:pPr/>
            <w:r>
              <w:rPr/>
              <w:t>On-Target Group Assessment</w:t>
            </w:r>
          </w:p>
        </w:tc>
        <w:tc>
          <w:tcPr>
            <w:tcW w:type="dxa" w:w="1728"/>
          </w:tcPr>
          <w:p>
            <w:pPr/>
            <w:r>
              <w:rPr/>
              <w:t>B03.M07 — On-Target Group Assessment</w:t>
            </w:r>
          </w:p>
        </w:tc>
      </w:tr>
    </w:tbl>
    <w:p>
      <w:pPr/>
      <w:r>
        <w:rPr/>
        <w:t xml:space="preserve">The ordered list above is the Block delivery sequence. See </w:t>
      </w:r>
      <w:r>
        <w:rPr/>
        <w:t>block.yaml</w:t>
      </w:r>
      <w:r>
        <w:rPr/>
        <w:t xml:space="preserve"> for secondary TLO reinforcement.</w:t>
      </w:r>
    </w:p>
    <w:p>
      <w:pPr>
        <w:pStyle w:val="Heading2"/>
      </w:pPr>
      <w:r>
        <w:rPr/>
        <w:t>Shared materials</w:t>
      </w:r>
    </w:p>
    <w:p>
      <w:pPr/>
      <w:r>
        <w:rPr/>
        <w:t xml:space="preserve">Assigned Module directories under </w:t>
      </w:r>
      <w:r>
        <w:rPr>
          <w:rFonts w:ascii="Consolas" w:hAnsi="Consolas"/>
        </w:rPr>
        <w:t>modules/</w:t>
      </w:r>
      <w:r>
        <w:rPr/>
        <w:t xml:space="preserve"> hold the instructional sources for this Block.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