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Access Group Exercise — Lesson Plan</w:t>
      </w:r>
    </w:p>
    <w:p>
      <w:pPr>
        <w:pStyle w:val="IntenseQuote"/>
      </w:pPr>
      <w:r>
        <w:rPr>
          <w:b/>
        </w:rPr>
        <w:t>Classification:</w:t>
      </w:r>
      <w:r>
        <w:rPr/>
        <w:t xml:space="preserve"> UNCLASSIFIED</w:t>
      </w:r>
    </w:p>
    <w:p>
      <w:pPr>
        <w:pStyle w:val="Heading2"/>
      </w:pPr>
      <w:r>
        <w:rPr/>
        <w:t>1. Administrative and metadata</w:t>
      </w:r>
    </w:p>
    <w:p>
      <w:pPr>
        <w:pStyle w:val="Heading3"/>
      </w:pPr>
      <w:r>
        <w:rPr/>
        <w:t>1.1 Lesson title</w:t>
      </w:r>
    </w:p>
    <w:p>
      <w:pPr/>
      <w:r>
        <w:rPr/>
        <w:t>Access Group Exercise</w:t>
      </w:r>
    </w:p>
    <w:p>
      <w:pPr>
        <w:pStyle w:val="Heading3"/>
      </w:pPr>
      <w:r>
        <w:rPr/>
        <w:t>1.2 Module length</w:t>
      </w:r>
    </w:p>
    <w:p>
      <w:pPr/>
      <w:r>
        <w:rPr/>
        <w:t>435 minutes (7.25 hours)</w:t>
      </w:r>
    </w:p>
    <w:p>
      <w:pPr/>
      <w:r>
        <w:rPr/>
        <w:t>Not on the hourly schedule (30 Sep 2026). Optional only when a team finishes B02.M16 with time left. 435 minutes is the HTB assessment length, not a reserved grid block.</w:t>
      </w:r>
    </w:p>
    <w:p>
      <w:pPr>
        <w:pStyle w:val="Heading3"/>
      </w:pPr>
      <w:r>
        <w:rPr/>
        <w:t>1.3 Terminal and enabling learning objectives</w:t>
      </w:r>
    </w:p>
    <w:p>
      <w:pPr>
        <w:pStyle w:val="ListBullet"/>
      </w:pPr>
      <w:r>
        <w:rPr>
          <w:b/>
        </w:rPr>
        <w:t>TLO-4:</w:t>
      </w:r>
      <w:r>
        <w:rPr/>
        <w:t xml:space="preserve"> At the end of the Counterstrike Operator Course, students will be able to rapidly access and effect adversary infrastructure</w:t>
      </w:r>
    </w:p>
    <w:p>
      <w:pPr>
        <w:pStyle w:val="ListBullet"/>
      </w:pPr>
      <w:r>
        <w:rPr>
          <w:b/>
        </w:rPr>
        <w:t>ELO-38:</w:t>
      </w:r>
      <w:r>
        <w:rPr/>
        <w:t xml:space="preserve"> Recognize initial access opportunities</w:t>
      </w:r>
    </w:p>
    <w:p>
      <w:pPr>
        <w:pStyle w:val="ListBullet"/>
      </w:pPr>
      <w:r>
        <w:rPr>
          <w:b/>
        </w:rPr>
        <w:t>ELO-43:</w:t>
      </w:r>
      <w:r>
        <w:rPr/>
        <w:t xml:space="preserve"> Conduct initial access by exploiting public-facing applications</w:t>
      </w:r>
    </w:p>
    <w:p>
      <w:pPr>
        <w:pStyle w:val="Heading3"/>
      </w:pPr>
      <w:r>
        <w:rPr/>
        <w:t>1.4 Prerequisites</w:t>
      </w:r>
    </w:p>
    <w:p>
      <w:pPr>
        <w:pStyle w:val="ListBullet"/>
      </w:pPr>
      <w:r>
        <w:rPr>
          <w:b/>
        </w:rPr>
        <w:t>B02.M16:</w:t>
      </w:r>
      <w:r>
        <w:rPr/>
        <w:t xml:space="preserve"> Web-to-SQL Group Exercise</w:t>
      </w:r>
    </w:p>
    <w:p>
      <w:pPr>
        <w:pStyle w:val="Heading2"/>
      </w:pPr>
      <w:r>
        <w:rPr/>
        <w:t>2. Personnel, range, and environment</w:t>
      </w:r>
    </w:p>
    <w:p>
      <w:pPr>
        <w:pStyle w:val="Heading3"/>
      </w:pPr>
      <w:r>
        <w:rPr/>
        <w:t>2.1 Instructor and cadre</w:t>
      </w:r>
    </w:p>
    <w:p>
      <w:pPr>
        <w:pStyle w:val="ListBullet"/>
      </w:pPr>
      <w:r>
        <w:rPr/>
        <w:t>1 × instructor (required)</w:t>
      </w:r>
    </w:p>
    <w:p>
      <w:pPr>
        <w:pStyle w:val="ListBullet"/>
      </w:pPr>
      <w:r>
        <w:rPr/>
        <w:t>1 × range_engineer (conditional: Required when this Module's environment needs a range engineer)</w:t>
      </w:r>
    </w:p>
    <w:p>
      <w:pPr>
        <w:pStyle w:val="ListBullet"/>
      </w:pPr>
      <w:r>
        <w:rPr/>
        <w:t>0 × auditor (not_applicable: Not used by this course)</w:t>
      </w:r>
    </w:p>
    <w:p>
      <w:pPr>
        <w:pStyle w:val="ListBullet"/>
      </w:pPr>
      <w:r>
        <w:rPr/>
        <w:t>0 × oversight_officer (not_applicable: Not used by this course)</w:t>
      </w:r>
    </w:p>
    <w:p>
      <w:pPr>
        <w:pStyle w:val="Heading3"/>
      </w:pPr>
      <w:r>
        <w:rPr/>
        <w:t>2.2 Materials and resources</w:t>
      </w:r>
    </w:p>
    <w:p>
      <w:pPr/>
      <w:r>
        <w:rPr>
          <w:b/>
        </w:rPr>
        <w:t>Instructor resources and pre-class preparation</w:t>
      </w:r>
    </w:p>
    <w:p>
      <w:pPr>
        <w:pStyle w:val="ListBullet"/>
      </w:pPr>
      <w:r>
        <w:rPr/>
        <w:t xml:space="preserve">PCTE stack </w:t>
      </w:r>
      <w:r>
        <w:rPr>
          <w:rFonts w:ascii="Consolas" w:hAnsi="Consolas"/>
        </w:rPr>
        <w:t>htb-portal</w:t>
      </w:r>
      <w:r>
        <w:rPr/>
        <w:t xml:space="preserve"> (required)</w:t>
      </w:r>
    </w:p>
    <w:p>
      <w:pPr>
        <w:pStyle w:val="ListBullet"/>
      </w:pPr>
      <w:r>
        <w:rPr/>
        <w:t>Classroom projector and screen; whiteboard for the opening contract</w:t>
      </w:r>
    </w:p>
    <w:p>
      <w:pPr>
        <w:pStyle w:val="ListBullet"/>
      </w:pPr>
      <w:r>
        <w:rPr/>
        <w:t>Confirm HTB Academy access and that Skills Assessment II can spawn</w:t>
      </w:r>
    </w:p>
    <w:p>
      <w:pPr>
        <w:pStyle w:val="ListBullet"/>
      </w:pPr>
      <w:r>
        <w:rPr/>
        <w:t xml:space="preserve">Live walkthrough in </w:t>
      </w:r>
      <w:r>
        <w:rPr/>
        <w:t>Access Group Exercise — Instructor Answer Key</w:t>
      </w:r>
    </w:p>
    <w:p>
      <w:pPr>
        <w:pStyle w:val="ListBullet"/>
      </w:pPr>
      <w:r>
        <w:rPr/>
        <w:t>Do not project flags, tokens, or answer-key values</w:t>
      </w:r>
    </w:p>
    <w:p>
      <w:pPr/>
      <w:r>
        <w:rPr>
          <w:b/>
        </w:rPr>
        <w:t>Student resources and environment</w:t>
      </w:r>
    </w:p>
    <w:p>
      <w:pPr>
        <w:pStyle w:val="ListBullet"/>
      </w:pPr>
      <w:r>
        <w:rPr/>
        <w:t>Student brief in this Module folder</w:t>
      </w:r>
    </w:p>
    <w:p>
      <w:pPr>
        <w:pStyle w:val="ListBullet"/>
      </w:pPr>
      <w:r>
        <w:rPr/>
        <w:t>HTB Academy Attacking Common Applications course and spawned Skills Assessment II target</w:t>
      </w:r>
    </w:p>
    <w:p>
      <w:pPr>
        <w:pStyle w:val="ListBullet"/>
      </w:pPr>
      <w:r>
        <w:rPr/>
        <w:t>No extra kit beyond what the student-facing file already lists</w:t>
      </w:r>
    </w:p>
    <w:p>
      <w:pPr>
        <w:pStyle w:val="ListBullet"/>
      </w:pPr>
      <w:r>
        <w:rPr/>
        <w:t xml:space="preserve">Student sequenced work in this Module: </w:t>
      </w:r>
      <w:r>
        <w:rPr>
          <w:rFonts w:ascii="Consolas" w:hAnsi="Consolas"/>
        </w:rPr>
        <w:t>student-brief.md</w:t>
      </w:r>
      <w:r>
        <w:rPr/>
        <w:t>.</w:t>
      </w:r>
    </w:p>
    <w:p>
      <w:pPr>
        <w:pStyle w:val="Heading3"/>
      </w:pPr>
      <w:r>
        <w:rPr/>
        <w:t>2.3 Setup, go/no-go, and PCTE pointers</w:t>
      </w:r>
    </w:p>
    <w:p>
      <w:pPr/>
      <w:r>
        <w:rPr/>
        <w:t>Point at Module files. Do not copy Puppet or range automation into this plan.</w:t>
      </w:r>
    </w:p>
    <w:p>
      <w:pPr>
        <w:pStyle w:val="ListBullet"/>
      </w:pPr>
      <w:r>
        <w:rPr/>
        <w:t>Setup instructions: no Module-local prep.</w:t>
      </w:r>
    </w:p>
    <w:p>
      <w:pPr>
        <w:pStyle w:val="ListBullet"/>
      </w:pPr>
      <w:r>
        <w:rPr/>
        <w:t>Go/no-go checklist: no Module-local prep.</w:t>
      </w:r>
    </w:p>
    <w:p>
      <w:pPr>
        <w:pStyle w:val="ListBullet"/>
      </w:pPr>
      <w:r>
        <w:rPr/>
        <w:t xml:space="preserve">PCTE stack </w:t>
      </w:r>
      <w:r>
        <w:rPr>
          <w:rFonts w:ascii="Consolas" w:hAnsi="Consolas"/>
        </w:rPr>
        <w:t>htb-portal</w:t>
      </w:r>
      <w:r>
        <w:rPr/>
        <w:t xml:space="preserve"> (see </w:t>
      </w:r>
      <w:r>
        <w:rPr>
          <w:rFonts w:ascii="Consolas" w:hAnsi="Consolas"/>
        </w:rPr>
        <w:t>pcte.stack_refs</w:t>
      </w:r>
      <w:r>
        <w:rPr/>
        <w:t>).</w:t>
      </w:r>
    </w:p>
    <w:p>
      <w:pPr>
        <w:pStyle w:val="Heading2"/>
      </w:pPr>
      <w:r>
        <w:rPr/>
        <w:t>3. Assessment and evaluation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365F91"/>
          </w:tcPr>
          <w:p>
            <w:pPr/>
            <w:r>
              <w:rPr>
                <w:b/>
                <w:color w:val="FFFFFF"/>
              </w:rPr>
              <w:t>ELO</w:t>
            </w:r>
          </w:p>
        </w:tc>
        <w:tc>
          <w:tcPr>
            <w:tcW w:type="dxa" w:w="2160"/>
            <w:shd w:val="clear" w:color="auto" w:fill="365F91"/>
          </w:tcPr>
          <w:p>
            <w:pPr/>
            <w:r>
              <w:rPr>
                <w:b/>
                <w:color w:val="FFFFFF"/>
              </w:rPr>
              <w:t>Method</w:t>
            </w:r>
          </w:p>
        </w:tc>
        <w:tc>
          <w:tcPr>
            <w:tcW w:type="dxa" w:w="2160"/>
            <w:shd w:val="clear" w:color="auto" w:fill="365F91"/>
          </w:tcPr>
          <w:p>
            <w:pPr/>
            <w:r>
              <w:rPr>
                <w:b/>
                <w:color w:val="FFFFFF"/>
              </w:rPr>
              <w:t>Related Module</w:t>
            </w:r>
          </w:p>
        </w:tc>
        <w:tc>
          <w:tcPr>
            <w:tcW w:type="dxa" w:w="2160"/>
            <w:shd w:val="clear" w:color="auto" w:fill="365F91"/>
          </w:tcPr>
          <w:p>
            <w:pPr/>
            <w:r>
              <w:rPr>
                <w:b/>
                <w:color w:val="FFFFFF"/>
              </w:rPr>
              <w:t>Criteria</w:t>
            </w:r>
          </w:p>
        </w:tc>
      </w:tr>
      <w:tr>
        <w:tc>
          <w:tcPr>
            <w:tcW w:type="dxa" w:w="2160"/>
          </w:tcPr>
          <w:p>
            <w:pPr/>
            <w:r>
              <w:rPr/>
              <w:t>ELO-38</w:t>
            </w:r>
          </w:p>
        </w:tc>
        <w:tc>
          <w:tcPr>
            <w:tcW w:type="dxa" w:w="2160"/>
          </w:tcPr>
          <w:p>
            <w:pPr/>
            <w:r>
              <w:rPr/>
              <w:t>group activity</w:t>
            </w:r>
          </w:p>
        </w:tc>
        <w:tc>
          <w:tcPr>
            <w:tcW w:type="dxa" w:w="2160"/>
          </w:tcPr>
          <w:p>
            <w:pPr/>
            <w:r>
              <w:rPr/>
              <w:t>—</w:t>
            </w:r>
          </w:p>
        </w:tc>
        <w:tc>
          <w:tcPr>
            <w:tcW w:type="dxa" w:w="2160"/>
          </w:tcPr>
          <w:p>
            <w:pPr/>
            <w:r>
              <w:rPr/>
              <w:t>Use the techniques covered in the Attacking Common Applications course to analyze the assessment environment, identify the exposed application weaknesses, gain the required access, and answer all questions in Skills Assessment II.</w:t>
            </w:r>
          </w:p>
        </w:tc>
      </w:tr>
      <w:tr>
        <w:tc>
          <w:tcPr>
            <w:tcW w:type="dxa" w:w="2160"/>
          </w:tcPr>
          <w:p>
            <w:pPr/>
            <w:r>
              <w:rPr/>
              <w:t>ELO-43</w:t>
            </w:r>
          </w:p>
        </w:tc>
        <w:tc>
          <w:tcPr>
            <w:tcW w:type="dxa" w:w="2160"/>
          </w:tcPr>
          <w:p>
            <w:pPr/>
            <w:r>
              <w:rPr/>
              <w:t>group activity</w:t>
            </w:r>
          </w:p>
        </w:tc>
        <w:tc>
          <w:tcPr>
            <w:tcW w:type="dxa" w:w="2160"/>
          </w:tcPr>
          <w:p>
            <w:pPr/>
            <w:r>
              <w:rPr/>
              <w:t>—</w:t>
            </w:r>
          </w:p>
        </w:tc>
        <w:tc>
          <w:tcPr>
            <w:tcW w:type="dxa" w:w="2160"/>
          </w:tcPr>
          <w:p>
            <w:pPr/>
            <w:r>
              <w:rPr/>
              <w:t>Use the techniques covered in the Attacking Common Applications course to analyze the assessment environment, identify the exposed application weaknesses, gain the required access, and answer all questions in Skills Assessment II.</w:t>
            </w:r>
          </w:p>
        </w:tc>
      </w:tr>
    </w:tbl>
    <w:p>
      <w:pPr>
        <w:pStyle w:val="Heading2"/>
      </w:pPr>
      <w:r>
        <w:rPr/>
        <w:t>4. Instructional delivery</w:t>
      </w:r>
    </w:p>
    <w:p>
      <w:pPr>
        <w:pStyle w:val="Heading3"/>
      </w:pPr>
      <w:r>
        <w:rPr/>
        <w:t>4.1 Opening, attention grabber, and motivator</w:t>
      </w:r>
    </w:p>
    <w:p>
      <w:pPr>
        <w:pStyle w:val="Heading4"/>
      </w:pPr>
      <w:r>
        <w:rPr/>
        <w:t>Option 1 (Interactive / Whiteboard / Kinesthetic)</w:t>
      </w:r>
    </w:p>
    <w:p>
      <w:pPr>
        <w:pStyle w:val="ListBullet"/>
      </w:pPr>
      <w:r>
        <w:rPr>
          <w:b/>
        </w:rPr>
        <w:t>Say:</w:t>
      </w:r>
      <w:r>
        <w:rPr/>
        <w:t xml:space="preserve"> "You are not hunting a remembered IP. Spawn Skills Assessment II, confirm the live target, and keep an evidence path another operator could follow."</w:t>
      </w:r>
    </w:p>
    <w:p>
      <w:pPr>
        <w:pStyle w:val="ListBullet"/>
      </w:pPr>
      <w:r>
        <w:rPr>
          <w:b/>
        </w:rPr>
        <w:t>Do:</w:t>
      </w:r>
      <w:r>
        <w:rPr/>
        <w:t xml:space="preserve"> Put the HTB tasking on the board. Keep the answer key closed unless a team is stuck.</w:t>
      </w:r>
    </w:p>
    <w:p>
      <w:pPr>
        <w:pStyle w:val="ListBullet"/>
      </w:pPr>
      <w:r>
        <w:rPr>
          <w:b/>
        </w:rPr>
        <w:t>Ask (Q):</w:t>
      </w:r>
      <w:r>
        <w:rPr/>
        <w:t xml:space="preserve"> What must the team turn in besides HTB answers?</w:t>
      </w:r>
    </w:p>
    <w:p>
      <w:pPr>
        <w:pStyle w:val="ListBullet"/>
      </w:pPr>
      <w:r>
        <w:rPr>
          <w:b/>
        </w:rPr>
        <w:t>Expected Response (A):</w:t>
      </w:r>
      <w:r>
        <w:rPr/>
        <w:t xml:space="preserve"> A short path summary, supporting evidence for each answer, and the most important lesson from the assessment.</w:t>
      </w:r>
    </w:p>
    <w:p>
      <w:pPr>
        <w:pStyle w:val="Heading4"/>
      </w:pPr>
      <w:r>
        <w:rPr/>
        <w:t>Option 2 (Digital Slide / Virtual / Slide Deck)</w:t>
      </w:r>
    </w:p>
    <w:p>
      <w:pPr>
        <w:pStyle w:val="ListBullet"/>
      </w:pPr>
      <w:r>
        <w:rPr>
          <w:b/>
        </w:rPr>
        <w:t>Say:</w:t>
      </w:r>
      <w:r>
        <w:rPr/>
        <w:t xml:space="preserve"> "You are not hunting a remembered IP. Spawn Skills Assessment II, confirm the live target, and keep an evidence path another operator could follow."</w:t>
      </w:r>
    </w:p>
    <w:p>
      <w:pPr>
        <w:pStyle w:val="ListBullet"/>
      </w:pPr>
      <w:r>
        <w:rPr>
          <w:b/>
        </w:rPr>
        <w:t>Show:</w:t>
      </w:r>
      <w:r>
        <w:rPr/>
        <w:t xml:space="preserve"> The student brief HTB tasking and deliverables.</w:t>
      </w:r>
    </w:p>
    <w:p>
      <w:pPr>
        <w:pStyle w:val="ListBullet"/>
      </w:pPr>
      <w:r>
        <w:rPr>
          <w:b/>
        </w:rPr>
        <w:t>Do:</w:t>
      </w:r>
      <w:r>
        <w:rPr/>
        <w:t xml:space="preserve"> Confirm every team can log in to HTB Academy and spawn the assessment target.</w:t>
      </w:r>
    </w:p>
    <w:p>
      <w:pPr>
        <w:pStyle w:val="ListBullet"/>
      </w:pPr>
      <w:r>
        <w:rPr>
          <w:b/>
        </w:rPr>
        <w:t>Ask (Q):</w:t>
      </w:r>
      <w:r>
        <w:rPr/>
        <w:t xml:space="preserve"> What must the team turn in besides HTB answers?</w:t>
      </w:r>
    </w:p>
    <w:p>
      <w:pPr>
        <w:pStyle w:val="ListBullet"/>
      </w:pPr>
      <w:r>
        <w:rPr>
          <w:b/>
        </w:rPr>
        <w:t>Expected Response (A):</w:t>
      </w:r>
      <w:r>
        <w:rPr/>
        <w:t xml:space="preserve"> A short path summary, supporting evidence for each answer, and the most important lesson from the assessment.</w:t>
      </w:r>
    </w:p>
    <w:p>
      <w:pPr>
        <w:pStyle w:val="Heading3"/>
      </w:pPr>
      <w:r>
        <w:rPr/>
        <w:t>4.2 Side-by-side table of instruction</w:t>
      </w:r>
    </w:p>
    <w:tbl>
      <w:tblPr>
        <w:tblStyle w:val="TableGrid"/>
        <w:tblW w:type="dxa" w:w="8640"/>
        <w:tblLayout w:type="fixed"/>
        <w:tblLook w:firstColumn="1" w:firstRow="1" w:lastColumn="0" w:lastRow="0" w:noHBand="0" w:noVBand="1" w:val="04A0"/>
      </w:tblPr>
      <w:tblGrid>
        <w:gridCol w:w="3456"/>
        <w:gridCol w:w="5184"/>
      </w:tblGrid>
      <w:tr>
        <w:tc>
          <w:tcPr>
            <w:tcW w:type="dxa" w:w="3456"/>
            <w:shd w:val="clear" w:color="auto" w:fill="365F91"/>
          </w:tcPr>
          <w:p>
            <w:pPr/>
            <w:r>
              <w:rPr>
                <w:b/>
                <w:color w:val="FFFFFF"/>
              </w:rPr>
              <w:t>Visual / Slide Asset</w:t>
            </w:r>
          </w:p>
        </w:tc>
        <w:tc>
          <w:tcPr>
            <w:tcW w:type="dxa" w:w="5184"/>
            <w:shd w:val="clear" w:color="auto" w:fill="365F91"/>
          </w:tcPr>
          <w:p>
            <w:pPr/>
            <w:r>
              <w:rPr>
                <w:b/>
                <w:color w:val="FFFFFF"/>
              </w:rPr>
              <w:t>Instructional Delivery &amp; Instructor Notes</w:t>
            </w:r>
          </w:p>
        </w:tc>
      </w:tr>
      <w:tr>
        <w:tc>
          <w:tcPr>
            <w:tcW w:type="dxa" w:w="3456"/>
          </w:tcPr>
          <w:p>
            <w:pPr/>
            <w:r>
              <w:rPr>
                <w:b/>
              </w:rPr>
              <w:t>Step 1: Phase 1 — Initial access and reconnaissance</w:t>
            </w:r>
          </w:p>
          <w:p>
            <w:pPr/>
            <w:r>
              <w:rPr>
                <w:i/>
              </w:rPr>
              <w:t>Duration: 90 min</w:t>
            </w:r>
          </w:p>
          <w:p>
            <w:pPr/>
            <w:r>
              <w:rPr>
                <w:i/>
              </w:rPr>
              <w:t>Visual:</w:t>
            </w:r>
            <w:r>
              <w:rPr/>
              <w:t xml:space="preserve"> No image required for this lab step.</w:t>
            </w:r>
          </w:p>
        </w:tc>
        <w:tc>
          <w:tcPr>
            <w:tcW w:type="dxa" w:w="5184"/>
          </w:tcPr>
          <w:p>
            <w:pPr/>
            <w:r>
              <w:rPr>
                <w:b/>
              </w:rPr>
              <w:t>Say:</w:t>
            </w:r>
            <w:r>
              <w:rPr/>
              <w:t xml:space="preserve"> "Work this step from the student-facing file. Evidence first; do not skip to the answer key."</w:t>
            </w:r>
          </w:p>
          <w:p>
            <w:pPr/>
          </w:p>
          <w:p>
            <w:pPr/>
            <w:r>
              <w:rPr>
                <w:b/>
              </w:rPr>
              <w:t>Show:</w:t>
            </w:r>
            <w:r>
              <w:rPr/>
              <w:t xml:space="preserve"> Student-facing file for the task; live walkthrough in </w:t>
            </w:r>
            <w:r>
              <w:rPr>
                <w:rFonts w:ascii="Consolas" w:hAnsi="Consolas"/>
              </w:rPr>
              <w:t>answer-key.md</w:t>
            </w:r>
            <w:r>
              <w:rPr/>
              <w:t>. Release instructor hints one phase at a time if a team stalls. Do not read flag values aloud unless grading.</w:t>
            </w:r>
          </w:p>
          <w:p>
            <w:pPr/>
          </w:p>
          <w:p>
            <w:pPr/>
            <w:r>
              <w:rPr>
                <w:b/>
              </w:rPr>
              <w:t>Do:</w:t>
            </w:r>
            <w:r>
              <w:rPr/>
              <w:t xml:space="preserve"> Timebox this step. Troubleshoot access and tool readiness. Do not project flags or tokens.</w:t>
            </w:r>
          </w:p>
          <w:p>
            <w:pPr/>
          </w:p>
          <w:p>
            <w:pPr/>
            <w:r>
              <w:rPr>
                <w:b/>
              </w:rPr>
              <w:t>Ask (Q):</w:t>
            </w:r>
            <w:r>
              <w:rPr/>
              <w:t xml:space="preserve"> What evidence tells you this step is done?</w:t>
            </w:r>
          </w:p>
          <w:p>
            <w:pPr/>
          </w:p>
          <w:p>
            <w:pPr/>
            <w:r>
              <w:rPr>
                <w:b/>
              </w:rPr>
              <w:t>Expected Response (A):</w:t>
            </w:r>
            <w:r>
              <w:rPr/>
              <w:t xml:space="preserve"> A student-facing artifact or observation already named in the brief, not an answer-key value.</w:t>
            </w:r>
          </w:p>
        </w:tc>
      </w:tr>
      <w:tr>
        <w:tc>
          <w:tcPr>
            <w:tcW w:type="dxa" w:w="3456"/>
          </w:tcPr>
          <w:p>
            <w:pPr/>
            <w:r>
              <w:rPr>
                <w:b/>
              </w:rPr>
              <w:t>Step 2: Phase 2 — Credential harvesting</w:t>
            </w:r>
          </w:p>
          <w:p>
            <w:pPr/>
            <w:r>
              <w:rPr>
                <w:i/>
              </w:rPr>
              <w:t>Duration: 75 min</w:t>
            </w:r>
          </w:p>
          <w:p>
            <w:pPr/>
            <w:r>
              <w:rPr>
                <w:i/>
              </w:rPr>
              <w:t>Visual:</w:t>
            </w:r>
            <w:r>
              <w:rPr/>
              <w:t xml:space="preserve"> No image required for this lab step.</w:t>
            </w:r>
          </w:p>
        </w:tc>
        <w:tc>
          <w:tcPr>
            <w:tcW w:type="dxa" w:w="5184"/>
          </w:tcPr>
          <w:p>
            <w:pPr/>
            <w:r>
              <w:rPr>
                <w:b/>
              </w:rPr>
              <w:t>Say:</w:t>
            </w:r>
            <w:r>
              <w:rPr/>
              <w:t xml:space="preserve"> "Work this step from the student-facing file. Evidence first; do not skip to the answer key."</w:t>
            </w:r>
          </w:p>
          <w:p>
            <w:pPr/>
          </w:p>
          <w:p>
            <w:pPr/>
            <w:r>
              <w:rPr>
                <w:b/>
              </w:rPr>
              <w:t>Show:</w:t>
            </w:r>
            <w:r>
              <w:rPr/>
              <w:t xml:space="preserve"> Student-facing file for the task; live walkthrough in </w:t>
            </w:r>
            <w:r>
              <w:rPr>
                <w:rFonts w:ascii="Consolas" w:hAnsi="Consolas"/>
              </w:rPr>
              <w:t>answer-key.md</w:t>
            </w:r>
            <w:r>
              <w:rPr/>
              <w:t>. Release instructor hints one phase at a time if a team stalls. Do not read flag values aloud unless grading.</w:t>
            </w:r>
          </w:p>
          <w:p>
            <w:pPr/>
          </w:p>
          <w:p>
            <w:pPr/>
            <w:r>
              <w:rPr>
                <w:b/>
              </w:rPr>
              <w:t>Do:</w:t>
            </w:r>
            <w:r>
              <w:rPr/>
              <w:t xml:space="preserve"> Timebox this step. Troubleshoot access and tool readiness. Do not project flags or tokens.</w:t>
            </w:r>
          </w:p>
          <w:p>
            <w:pPr/>
          </w:p>
          <w:p>
            <w:pPr/>
            <w:r>
              <w:rPr>
                <w:b/>
              </w:rPr>
              <w:t>Ask (Q):</w:t>
            </w:r>
            <w:r>
              <w:rPr/>
              <w:t xml:space="preserve"> What evidence tells you this step is done?</w:t>
            </w:r>
          </w:p>
          <w:p>
            <w:pPr/>
          </w:p>
          <w:p>
            <w:pPr/>
            <w:r>
              <w:rPr>
                <w:b/>
              </w:rPr>
              <w:t>Expected Response (A):</w:t>
            </w:r>
            <w:r>
              <w:rPr/>
              <w:t xml:space="preserve"> A student-facing artifact or observation already named in the brief, not an answer-key value.</w:t>
            </w:r>
          </w:p>
        </w:tc>
      </w:tr>
      <w:tr>
        <w:tc>
          <w:tcPr>
            <w:tcW w:type="dxa" w:w="3456"/>
          </w:tcPr>
          <w:p>
            <w:pPr/>
            <w:r>
              <w:rPr>
                <w:b/>
              </w:rPr>
              <w:t>Step 3: Phase 3 — Exploitation / RCE</w:t>
            </w:r>
          </w:p>
          <w:p>
            <w:pPr/>
            <w:r>
              <w:rPr>
                <w:i/>
              </w:rPr>
              <w:t>Duration: 90 min</w:t>
            </w:r>
          </w:p>
          <w:p>
            <w:pPr/>
            <w:r>
              <w:rPr>
                <w:i/>
              </w:rPr>
              <w:t>Visual:</w:t>
            </w:r>
            <w:r>
              <w:rPr/>
              <w:t xml:space="preserve"> No image required for this lab step.</w:t>
            </w:r>
          </w:p>
        </w:tc>
        <w:tc>
          <w:tcPr>
            <w:tcW w:type="dxa" w:w="5184"/>
          </w:tcPr>
          <w:p>
            <w:pPr/>
            <w:r>
              <w:rPr>
                <w:b/>
              </w:rPr>
              <w:t>Say:</w:t>
            </w:r>
            <w:r>
              <w:rPr/>
              <w:t xml:space="preserve"> "Work this step from the student-facing file. Evidence first; do not skip to the answer key."</w:t>
            </w:r>
          </w:p>
          <w:p>
            <w:pPr/>
          </w:p>
          <w:p>
            <w:pPr/>
            <w:r>
              <w:rPr>
                <w:b/>
              </w:rPr>
              <w:t>Show:</w:t>
            </w:r>
            <w:r>
              <w:rPr/>
              <w:t xml:space="preserve"> Student-facing file for the task; live walkthrough in </w:t>
            </w:r>
            <w:r>
              <w:rPr>
                <w:rFonts w:ascii="Consolas" w:hAnsi="Consolas"/>
              </w:rPr>
              <w:t>answer-key.md</w:t>
            </w:r>
            <w:r>
              <w:rPr/>
              <w:t>. Release instructor hints one phase at a time if a team stalls. Do not read flag values aloud unless grading.</w:t>
            </w:r>
          </w:p>
          <w:p>
            <w:pPr/>
          </w:p>
          <w:p>
            <w:pPr/>
            <w:r>
              <w:rPr>
                <w:b/>
              </w:rPr>
              <w:t>Do:</w:t>
            </w:r>
            <w:r>
              <w:rPr/>
              <w:t xml:space="preserve"> Timebox this step. Troubleshoot access and tool readiness. Do not project flags or tokens.</w:t>
            </w:r>
          </w:p>
          <w:p>
            <w:pPr/>
          </w:p>
          <w:p>
            <w:pPr/>
            <w:r>
              <w:rPr>
                <w:b/>
              </w:rPr>
              <w:t>Ask (Q):</w:t>
            </w:r>
            <w:r>
              <w:rPr/>
              <w:t xml:space="preserve"> What evidence tells you this step is done?</w:t>
            </w:r>
          </w:p>
          <w:p>
            <w:pPr/>
          </w:p>
          <w:p>
            <w:pPr/>
            <w:r>
              <w:rPr>
                <w:b/>
              </w:rPr>
              <w:t>Expected Response (A):</w:t>
            </w:r>
            <w:r>
              <w:rPr/>
              <w:t xml:space="preserve"> A student-facing artifact or observation already named in the brief, not an answer-key value.</w:t>
            </w:r>
          </w:p>
        </w:tc>
      </w:tr>
      <w:tr>
        <w:tc>
          <w:tcPr>
            <w:tcW w:type="dxa" w:w="3456"/>
          </w:tcPr>
          <w:p>
            <w:pPr/>
            <w:r>
              <w:rPr>
                <w:b/>
              </w:rPr>
              <w:t>Step 4: Phase 4 — Persistence and privilege escalation</w:t>
            </w:r>
          </w:p>
          <w:p>
            <w:pPr/>
            <w:r>
              <w:rPr>
                <w:i/>
              </w:rPr>
              <w:t>Duration: 90 min</w:t>
            </w:r>
          </w:p>
          <w:p>
            <w:pPr/>
            <w:r>
              <w:rPr>
                <w:i/>
              </w:rPr>
              <w:t>Visual:</w:t>
            </w:r>
            <w:r>
              <w:rPr/>
              <w:t xml:space="preserve"> No image required for this lab step.</w:t>
            </w:r>
          </w:p>
        </w:tc>
        <w:tc>
          <w:tcPr>
            <w:tcW w:type="dxa" w:w="5184"/>
          </w:tcPr>
          <w:p>
            <w:pPr/>
            <w:r>
              <w:rPr>
                <w:b/>
              </w:rPr>
              <w:t>Say:</w:t>
            </w:r>
            <w:r>
              <w:rPr/>
              <w:t xml:space="preserve"> "Work this step from the student-facing file. Evidence first; do not skip to the answer key."</w:t>
            </w:r>
          </w:p>
          <w:p>
            <w:pPr/>
          </w:p>
          <w:p>
            <w:pPr/>
            <w:r>
              <w:rPr>
                <w:b/>
              </w:rPr>
              <w:t>Show:</w:t>
            </w:r>
            <w:r>
              <w:rPr/>
              <w:t xml:space="preserve"> Student-facing file for the task; live walkthrough in </w:t>
            </w:r>
            <w:r>
              <w:rPr>
                <w:rFonts w:ascii="Consolas" w:hAnsi="Consolas"/>
              </w:rPr>
              <w:t>answer-key.md</w:t>
            </w:r>
            <w:r>
              <w:rPr/>
              <w:t>. Release instructor hints one phase at a time if a team stalls. Do not read flag values aloud unless grading.</w:t>
            </w:r>
          </w:p>
          <w:p>
            <w:pPr/>
          </w:p>
          <w:p>
            <w:pPr/>
            <w:r>
              <w:rPr>
                <w:b/>
              </w:rPr>
              <w:t>Do:</w:t>
            </w:r>
            <w:r>
              <w:rPr/>
              <w:t xml:space="preserve"> Timebox this step. Troubleshoot access and tool readiness. Do not project flags or tokens.</w:t>
            </w:r>
          </w:p>
          <w:p>
            <w:pPr/>
          </w:p>
          <w:p>
            <w:pPr/>
            <w:r>
              <w:rPr>
                <w:b/>
              </w:rPr>
              <w:t>Ask (Q):</w:t>
            </w:r>
            <w:r>
              <w:rPr/>
              <w:t xml:space="preserve"> What evidence tells you this step is done?</w:t>
            </w:r>
          </w:p>
          <w:p>
            <w:pPr/>
          </w:p>
          <w:p>
            <w:pPr/>
            <w:r>
              <w:rPr>
                <w:b/>
              </w:rPr>
              <w:t>Expected Response (A):</w:t>
            </w:r>
            <w:r>
              <w:rPr/>
              <w:t xml:space="preserve"> A student-facing artifact or observation already named in the brief, not an answer-key value.</w:t>
            </w:r>
          </w:p>
        </w:tc>
      </w:tr>
      <w:tr>
        <w:tc>
          <w:tcPr>
            <w:tcW w:type="dxa" w:w="3456"/>
          </w:tcPr>
          <w:p>
            <w:pPr/>
            <w:r>
              <w:rPr>
                <w:b/>
              </w:rPr>
              <w:t>Step 5: Phase 5 — Final objectives and flag recovery</w:t>
            </w:r>
          </w:p>
          <w:p>
            <w:pPr/>
            <w:r>
              <w:rPr>
                <w:i/>
              </w:rPr>
              <w:t>Duration: 90 min</w:t>
            </w:r>
          </w:p>
          <w:p>
            <w:pPr/>
            <w:r>
              <w:rPr>
                <w:i/>
              </w:rPr>
              <w:t>Visual:</w:t>
            </w:r>
            <w:r>
              <w:rPr/>
              <w:t xml:space="preserve"> No image required for this lab step.</w:t>
            </w:r>
          </w:p>
        </w:tc>
        <w:tc>
          <w:tcPr>
            <w:tcW w:type="dxa" w:w="5184"/>
          </w:tcPr>
          <w:p>
            <w:pPr/>
            <w:r>
              <w:rPr>
                <w:b/>
              </w:rPr>
              <w:t>Say:</w:t>
            </w:r>
            <w:r>
              <w:rPr/>
              <w:t xml:space="preserve"> "Work this step from the student-facing file. Evidence first; do not skip to the answer key."</w:t>
            </w:r>
          </w:p>
          <w:p>
            <w:pPr/>
          </w:p>
          <w:p>
            <w:pPr/>
            <w:r>
              <w:rPr>
                <w:b/>
              </w:rPr>
              <w:t>Show:</w:t>
            </w:r>
            <w:r>
              <w:rPr/>
              <w:t xml:space="preserve"> Student-facing file for the task; live walkthrough in </w:t>
            </w:r>
            <w:r>
              <w:rPr>
                <w:rFonts w:ascii="Consolas" w:hAnsi="Consolas"/>
              </w:rPr>
              <w:t>answer-key.md</w:t>
            </w:r>
            <w:r>
              <w:rPr/>
              <w:t>. Release instructor hints one phase at a time if a team stalls. Do not read flag values aloud unless grading.</w:t>
            </w:r>
          </w:p>
          <w:p>
            <w:pPr/>
          </w:p>
          <w:p>
            <w:pPr/>
            <w:r>
              <w:rPr>
                <w:b/>
              </w:rPr>
              <w:t>Do:</w:t>
            </w:r>
            <w:r>
              <w:rPr/>
              <w:t xml:space="preserve"> Timebox this step. Troubleshoot access and tool readiness. Do not project flags or tokens.</w:t>
            </w:r>
          </w:p>
          <w:p>
            <w:pPr/>
          </w:p>
          <w:p>
            <w:pPr/>
            <w:r>
              <w:rPr>
                <w:b/>
              </w:rPr>
              <w:t>Ask (Q):</w:t>
            </w:r>
            <w:r>
              <w:rPr/>
              <w:t xml:space="preserve"> What evidence tells you this step is done?</w:t>
            </w:r>
          </w:p>
          <w:p>
            <w:pPr/>
          </w:p>
          <w:p>
            <w:pPr/>
            <w:r>
              <w:rPr>
                <w:b/>
              </w:rPr>
              <w:t>Expected Response (A):</w:t>
            </w:r>
            <w:r>
              <w:rPr/>
              <w:t xml:space="preserve"> A student-facing artifact or observation already named in the brief, not an answer-key value.</w:t>
            </w:r>
          </w:p>
        </w:tc>
      </w:tr>
    </w:tbl>
    <w:p>
      <w:pPr>
        <w:pStyle w:val="Heading3"/>
      </w:pPr>
      <w:r>
        <w:rPr/>
        <w:t>4.3 Lesson summary</w:t>
      </w:r>
    </w:p>
    <w:p>
      <w:pPr>
        <w:pStyle w:val="ListBullet"/>
      </w:pPr>
      <w:r>
        <w:rPr/>
        <w:t>Access Group Exercise is executed as a generated lesson plan from this file.</w:t>
      </w:r>
    </w:p>
    <w:p>
      <w:pPr>
        <w:pStyle w:val="ListBullet"/>
      </w:pPr>
      <w:r>
        <w:rPr/>
        <w:t>The live walkthrough is in the answer key; students work the spawned HTB target.</w:t>
      </w:r>
    </w:p>
    <w:p>
      <w:pPr>
        <w:pStyle w:val="ListBullet"/>
      </w:pPr>
      <w:r>
        <w:rPr/>
        <w:t>Next Module in the Block sequence continues from the product this session collects.</w:t>
      </w:r>
    </w:p>
    <w:p>
      <w:pPr>
        <w:pStyle w:val="Heading3"/>
      </w:pPr>
      <w:r>
        <w:rPr/>
        <w:t>4.4 Questions and check on learning</w:t>
      </w:r>
    </w:p>
    <w:p>
      <w:pPr>
        <w:pStyle w:val="ListBullet"/>
      </w:pPr>
      <w:r>
        <w:rPr>
          <w:b/>
        </w:rPr>
        <w:t>Ask (Q):</w:t>
      </w:r>
      <w:r>
        <w:rPr/>
        <w:t xml:space="preserve"> What product does this lab collect, and what must not appear in the evidence?</w:t>
      </w:r>
    </w:p>
    <w:p>
      <w:pPr>
        <w:pStyle w:val="ListBullet"/>
      </w:pPr>
      <w:r>
        <w:rPr>
          <w:b/>
        </w:rPr>
        <w:t>Expected Response (A):</w:t>
      </w:r>
      <w:r>
        <w:rPr/>
        <w:t xml:space="preserve"> HTB answers plus an evidence path. Do not put answer-key values in screenshots or the lesson plan.</w:t>
      </w:r>
    </w:p>
    <w:p>
      <w:pPr>
        <w:pStyle w:val="Heading2"/>
      </w:pPr>
      <w:r>
        <w:rPr/>
        <w:t>5. Classification</w:t>
      </w:r>
    </w:p>
    <w:p>
      <w:pPr>
        <w:pStyle w:val="IntenseQuote"/>
      </w:pPr>
      <w:r>
        <w:rPr>
          <w:b/>
        </w:rPr>
        <w:t>Classification:</w:t>
      </w:r>
      <w:r>
        <w:rPr/>
        <w:t xml:space="preserve"> UNCLASSIFIED</w:t>
      </w:r>
    </w:p>
    <w:sectPr w:rsidR="002B43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747939">
    <w:abstractNumId w:val="8"/>
  </w:num>
  <w:num w:numId="2" w16cid:durableId="633826257">
    <w:abstractNumId w:val="6"/>
  </w:num>
  <w:num w:numId="3" w16cid:durableId="295572296">
    <w:abstractNumId w:val="5"/>
  </w:num>
  <w:num w:numId="4" w16cid:durableId="1086153044">
    <w:abstractNumId w:val="4"/>
  </w:num>
  <w:num w:numId="5" w16cid:durableId="742489334">
    <w:abstractNumId w:val="7"/>
  </w:num>
  <w:num w:numId="6" w16cid:durableId="502860231">
    <w:abstractNumId w:val="3"/>
  </w:num>
  <w:num w:numId="7" w16cid:durableId="1942949718">
    <w:abstractNumId w:val="2"/>
  </w:num>
  <w:num w:numId="8" w16cid:durableId="1462458761">
    <w:abstractNumId w:val="1"/>
  </w:num>
  <w:num w:numId="9" w16cid:durableId="1431007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DB"/>
    <w:rsid w:val="00326F90"/>
    <w:rsid w:val="005D59EE"/>
    <w:rsid w:val="007C0A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D5A958"/>
  <w14:defaultImageDpi w14:val="300"/>
  <w15:docId w15:val="{7BEDE890-288E-4F68-9B12-D37F14E7B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sz w:val="24"/>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365F91" w:themeColor="accent1" w:themeShade="BF"/>
      <w:sz w:val="5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4F81BD" w:themeColor="accent1"/>
      <w:sz w:val="4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3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160" w:after="120"/>
      <w:outlineLvl w:val="5"/>
    </w:pPr>
    <w:rPr>
      <w:rFonts w:asciiTheme="majorHAnsi" w:eastAsiaTheme="majorEastAsia" w:hAnsiTheme="majorHAnsi" w:cstheme="majorBidi"/>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CodeBlock">
    <w:name w:val="CanvasCodeBlock"/>
    <w:basedOn w:val="NoSpacing"/>
    <w:rPr>
      <w:rFonts w:ascii="Consolas" w:hAnsi="Consola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dc:title>
  <dc:subject>Per-Module lesson plan (lesson_plan_v1)</dc:subject>
  <dc:creator>Counterstrike Operator Course</dc:creator>
  <cp:keywords/>
  <dc:description>Style shell from the ISD extraction Word file. Agent prompts and example copy have been removed. Fill via tools/render_lesson_plan_docx.py.</dc:description>
  <cp:lastModifiedBy>Mattson, Sarah E</cp:lastModifiedBy>
  <cp:revision>2</cp:revision>
  <dcterms:created xsi:type="dcterms:W3CDTF">2013-12-23T23:15:00Z</dcterms:created>
  <dcterms:modified xsi:type="dcterms:W3CDTF">2026-09-09T14:22:00Z</dcterms:modified>
  <cp:category/>
  <dc:language>en-US</dc:language>
</cp:coreProperties>
</file>