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885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bookmarkStart w:colFirst="0" w:colLast="0" w:name="_au51mny0sx6" w:id="0"/>
      <w:bookmarkEnd w:id="0"/>
      <w:r w:rsidDel="00000000" w:rsidR="00000000" w:rsidRPr="00000000">
        <w:rPr>
          <w:color w:val="980000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Unit 47 “Sable Net” is a moderately sophisticated cyber threat actor operating under Varensk’s Internal Security Bureau (ISB). It is responsible for counterintelligence, regional coercion, hack-and-leak operations, and border-region cyber pressure targeting near-abroad democratic states, with primary focus on Lunovia.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U.S. threat hunting team recently detected Unit 47 “Sable Net” inside a Lunovian partner network. The observed activity consisted of a sustained spear-phishing campaign aimed at credential harvesting, email account takeover, and long-term intelligence collection. The unit blends social engineering with post-exploitation persistence to support Varensk’s broader goals of political interference and regional dominance.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bookmarkStart w:colFirst="0" w:colLast="0" w:name="_3at9u9s4e0vp" w:id="1"/>
      <w:bookmarkEnd w:id="1"/>
      <w:r w:rsidDel="00000000" w:rsidR="00000000" w:rsidRPr="00000000">
        <w:rPr>
          <w:color w:val="980000"/>
          <w:rtl w:val="0"/>
        </w:rPr>
        <w:t xml:space="preserve">Goals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Gather strategic intelligence on Lunovian government policy, defense posture, alliance negotiations, and civil-society activities.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Conduct political interference and influence operations to undermine Lunovia’s democratic institutions and Western partnerships.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Execute hack-and-leak campaigns to discredit officials, NGOs, and think tanks while shaping narratives favorable to Varensk’s territorial claims.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Provide persistent surveillance and coercion options against Lunovian critical infrastructure (energy, telecom, transportation) and the vulnerable Lunovian Corridor.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Support ISB domestic and near-abroad missions with timely, actionable intelligence for hybrid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bookmarkStart w:colFirst="0" w:colLast="0" w:name="_4p7xi5bvhxdr" w:id="2"/>
      <w:bookmarkEnd w:id="2"/>
      <w:r w:rsidDel="00000000" w:rsidR="00000000" w:rsidRPr="00000000">
        <w:rPr>
          <w:color w:val="980000"/>
          <w:rtl w:val="0"/>
        </w:rPr>
        <w:t xml:space="preserve">TTP’s</w:t>
      </w:r>
    </w:p>
    <w:p w:rsidR="00000000" w:rsidDel="00000000" w:rsidP="00000000" w:rsidRDefault="00000000" w:rsidRPr="00000000" w14:paraId="0000000D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Unit 47 “Sable Net” employs a patient, research-driven spear-phishing methodology focused on credential theft, account takeover, and sustained intelligence collection, leveraging the following MITRE ATT&amp;CK techniques: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Performs extensive open-source reconnaissance on social media and professional networking platforms to gather victim identity information and craft personalized engagement hooks (</w:t>
      </w:r>
      <w:r w:rsidDel="00000000" w:rsidR="00000000" w:rsidRPr="00000000">
        <w:rPr>
          <w:b w:val="1"/>
          <w:bCs w:val="1"/>
          <w:rtl w:val="0"/>
        </w:rPr>
        <w:t xml:space="preserve">T1589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T1593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fraudulent accounts, including webmail addresses and fake social media profiles, impersonating known contacts or domain experts (</w:t>
      </w:r>
      <w:r w:rsidDel="00000000" w:rsidR="00000000" w:rsidRPr="00000000">
        <w:rPr>
          <w:b w:val="1"/>
          <w:bCs w:val="1"/>
          <w:rtl w:val="0"/>
        </w:rPr>
        <w:t xml:space="preserve">T1585.001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T1585.002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Registers look-alike malicious domains to host credential-harvesting infrastructure (</w:t>
      </w:r>
      <w:r w:rsidDel="00000000" w:rsidR="00000000" w:rsidRPr="00000000">
        <w:rPr>
          <w:b w:val="1"/>
          <w:bCs w:val="1"/>
          <w:rtl w:val="0"/>
        </w:rPr>
        <w:t xml:space="preserve">T1583.001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trust through benign initial correspondence before delivering spear-phishing links—either directly in emails or embedded within documents hosted on legitimate-looking file-sharing platforms (</w:t>
      </w:r>
      <w:r w:rsidDel="00000000" w:rsidR="00000000" w:rsidRPr="00000000">
        <w:rPr>
          <w:b w:val="1"/>
          <w:bCs w:val="1"/>
          <w:rtl w:val="0"/>
        </w:rPr>
        <w:t xml:space="preserve">T1566.001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T1566.002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Utilizes advanced phishing kits capable of stealing both login credentials and web session cookies to bypass multi-factor authentication (</w:t>
      </w:r>
      <w:r w:rsidDel="00000000" w:rsidR="00000000" w:rsidRPr="00000000">
        <w:rPr>
          <w:b w:val="1"/>
          <w:bCs w:val="1"/>
          <w:rtl w:val="0"/>
        </w:rPr>
        <w:t xml:space="preserve">T1539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T1550.004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Leverages stolen credentials to access victim email accounts (</w:t>
      </w:r>
      <w:r w:rsidDel="00000000" w:rsidR="00000000" w:rsidRPr="00000000">
        <w:rPr>
          <w:b w:val="1"/>
          <w:bCs w:val="1"/>
          <w:rtl w:val="0"/>
        </w:rPr>
        <w:t xml:space="preserve">T1078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Conducts remote email collection, creates mail-forwarding rules for long-term visibility, and repurposes compromised accounts for follow-on targeting (</w:t>
      </w:r>
      <w:r w:rsidDel="00000000" w:rsidR="00000000" w:rsidRPr="00000000">
        <w:rPr>
          <w:b w:val="1"/>
          <w:bCs w:val="1"/>
          <w:rtl w:val="0"/>
        </w:rPr>
        <w:t xml:space="preserve">T1114.002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T1114.003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T1586.002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Relies on the Metasploit Framework for command-and-control, persistence, lateral movement, and post-exploitation once initial access is achieved.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color w:val="980000"/>
        </w:rPr>
      </w:pPr>
      <w:bookmarkStart w:colFirst="0" w:colLast="0" w:name="_ds0is3qauhv2" w:id="3"/>
      <w:bookmarkEnd w:id="3"/>
      <w:r w:rsidDel="00000000" w:rsidR="00000000" w:rsidRPr="00000000">
        <w:rPr>
          <w:color w:val="980000"/>
          <w:rtl w:val="0"/>
        </w:rPr>
        <w:t xml:space="preserve">Tool’s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Metasploit Framework – primary Command-and-Control (C2) for post-exploitation, persistence, lateral movement, and data exfiltration.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phishing infrastructure, including malicious domains that closely resemble legitimate organizations.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Consumer webmail services (Outlook, Gmail, ProtonMail, etc.) for initial delivery and impersonation.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Open-source or custom credential-harvesting kits capable of capturing session tokens and bypassing MFA.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Compromised victim accounts leveraged as secondary infrastructure.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40" w:before="0" w:lineRule="auto"/>
        <w:rPr>
          <w:color w:val="980000"/>
        </w:rPr>
      </w:pPr>
      <w:bookmarkStart w:colFirst="0" w:colLast="0" w:name="_722rfj9g351d" w:id="4"/>
      <w:bookmarkEnd w:id="4"/>
      <w:r w:rsidDel="00000000" w:rsidR="00000000" w:rsidRPr="00000000">
        <w:rPr>
          <w:color w:val="980000"/>
          <w:rtl w:val="0"/>
        </w:rPr>
        <w:t xml:space="preserve">Successful Campaigns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Lunovian Parliamentary Influence Op (Early 2025)</w:t>
      </w:r>
      <w:r w:rsidDel="00000000" w:rsidR="00000000" w:rsidRPr="00000000">
        <w:rPr>
          <w:rtl w:val="0"/>
        </w:rPr>
        <w:t xml:space="preserve">: Spear-phished coalition staffers; exfiltrated internal foreign-policy memos. Selective leaks to aligned media slowed Lunovia’s alliance integration efforts.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Think-Tank Espionage (Mid-2024)</w:t>
      </w:r>
      <w:r w:rsidDel="00000000" w:rsidR="00000000" w:rsidRPr="00000000">
        <w:rPr>
          <w:rtl w:val="0"/>
        </w:rPr>
        <w:t xml:space="preserve">: Targeted Velystok-based cybersecurity researchers and NGOs. Stolen reports on digital sovereignty were weaponized in Varensk state media to preempt Lunovian narratives.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Defense-Sector Recon (Late 2024)</w:t>
      </w:r>
      <w:r w:rsidDel="00000000" w:rsidR="00000000" w:rsidRPr="00000000">
        <w:rPr>
          <w:rtl w:val="0"/>
        </w:rPr>
        <w:t xml:space="preserve">: Compromised mid-level defense-ministry officials. Gained insight into procurement and modernization plans for the Lunovian Corridor defenses.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5"/>
    <w:bookmarkEnd w:id="5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