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ru5fhwww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THREAT HUNTING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ID: TH-2026-047-SABLE</w:t>
        <w:br w:type="textWrapping"/>
        <w:t xml:space="preserve">Incident Name: Sable Net Spear-Phishing Credential Harvesting Campaign</w:t>
        <w:br w:type="textWrapping"/>
        <w:t xml:space="preserve">Date of Report: May 6, 2026</w:t>
        <w:br w:type="textWrapping"/>
        <w:t xml:space="preserve">Prepared By: USA Threat Hunting Team (in coordination with Lunovian partner defenders)</w:t>
        <w:br w:type="textWrapping"/>
        <w:t xml:space="preserve">Classification: CONFIDENTIAL – Eyes Only (US / Lunovian Partners)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xeqfudae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proactive threat hunting in a Lunovian partner network, the USA Threat Hunting Team identified an active Unit 47 “Sable Net” intrusion focused on a sustained spear-phishing campaign aimed at credential harvesting, email account takeover, and long-term intelligence collection. The unit blends social engineering with post-exploitation persistence to support Varensk’s broader goals of political interference and regional dominance.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Severity: High</w:t>
        <w:br w:type="textWrapping"/>
        <w:t xml:space="preserve">Status: Detected</w:t>
        <w:br w:type="textWrapping"/>
        <w:t xml:space="preserve">Business Impact: Targeted intelligence collection from partner network systems; risk of compromise to strategic information and support for hybrid operations.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fkglw21p4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8yovljbw1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igxvdtxat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zp1sxq8q2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21aur4245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2qlcuwblx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od4lzhq3s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Incident Timeline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770"/>
        <w:gridCol w:w="4920"/>
        <w:gridCol w:w="2670"/>
        <w:tblGridChange w:id="0">
          <w:tblGrid>
            <w:gridCol w:w="1770"/>
            <w:gridCol w:w="4920"/>
            <w:gridCol w:w="26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/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Detection / Evidence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Pre-Incident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Extensive open-source reconnaissance on social media and professional networking platforms to gather victim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Reconnaissance artifacts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Spear-phishing emails delivered using fraudulent accounts and look-alike domains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of phishing links or embedded documents after building trust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interaction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and session cookie theft via advanced phishing kits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traffic to malicious infrastructure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0–1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account access using stolen credentials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access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Creation of mail-forwarding rules and remote email collection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server logs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Ongoing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Metasploit Framework deployment for persistence, lateral movement, and post-exploitation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and network monitoring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ws55iijsf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8icd45b6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k1ozxre5t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Threat Actor Attribution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 Actor: Unit 47 “Sable Net”</w:t>
        <w:br w:type="textWrapping"/>
        <w:t xml:space="preserve">Sponsor: Varensk’s Internal Security Bureau (ISB)</w:t>
        <w:br w:type="textWrapping"/>
        <w:t xml:space="preserve">Objective of this Campaign: Gather strategic intelligence on Lunovian government policy, defense posture, alliance negotiations, and civil-society activities through sustained access in the partner network. Support political interference, hack-and-leak operations, and hybrid activities.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nx3wn9ta1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Analysis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yv0clushv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Initial Access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intrusion began with a patient, research-driven spear-phishing methodology. Actors performed extensive open-source reconnaissance on social media and professional networking platforms to gather victim identity information and craft personalized engagement hooks (T1589, T1593).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Fraudulent accounts were established, including webmail addresses and fake social media profiles, impersonating known contacts or domain experts (T1585.001, T1585.002). Look-alike malicious domains were registered to host credential-harvesting infrastructure (T1583.001).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was built through benign initial correspondence before delivering spear-phishing links—either directly in emails or embedded within documents hosted on legitimate-looking file-sharing platforms (T1566.001, T1566.002).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6984v39qf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Execution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phishing kits capable of stealing both login credentials and web session cookies were utilized to bypass multi-factor authentication (T1539, T1550.004).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noqtco3we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Persistence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Metasploit Framework was relied upon for persistence once initial access was achieved.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u00r82ksv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Command and Control (C2)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Metasploit Framework served as the primary Command-and-Control (C2) for post-exploitation, persistence, lateral movement, and data exfiltration.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8vrdfmibu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niqx2xscp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Actions on Objectives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Stolen credentials were leveraged to access victim email accounts (T1078). Remote email collection was conducted, mail-forwarding rules created for long-term visibility, and compromised accounts repurposed for follow-on targeting (T1114.002, T1114.003, T1586.002).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Post-exploitation focused on intelligence collection supporting ISB domestic and near-abroad missions.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bb7f762a5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Exfiltration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exfiltration and intelligence collection were facilitated through compromised email accounts and the Metasploit Framework.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7k6x1g6f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Impact Assessment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Systems Affected: Systems within the Lunovian partner network.</w:t>
        <w:br w:type="textWrapping"/>
        <w:t xml:space="preserve">Data at Risk: Strategic intelligence on Lunovian government policy, defense posture, alliance negotiations, civil-society activities; potential access to critical infrastructure surveillance options.</w:t>
        <w:br w:type="textWrapping"/>
        <w:t xml:space="preserve">Risk Level: High.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2lo0f5yxf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Detection &amp; Response Actions Taken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Method: Proactive threat hunting in Lunovian partner network identifying the spear-phishing campaign and associated TTPs.</w:t>
        <w:br w:type="textWrapping"/>
        <w:t xml:space="preserve">Containment &amp; Eradication: Actions initiated following detection to address compromised accounts and Metasploit implants (details available upon request).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y85uxxcbk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Indicators of Compromise (IOCs)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phishing infrastructure and look-alike malicious domains.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Fraudulent webmail addresses and social media profiles used for impersonation.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Phishing kits designed to capture credentials and session cookies.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Metasploit Framework C2 communications and artifacts.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of mail-forwarding rules in compromised email accounts.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connections associated with credential harvesting and Metasploit activity.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IOC package available upon request.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iv8op880q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j8gowq7hg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Recommendations &amp; Hunting Guidance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Hunting Queries: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for spear-phishing emails involving personalized hooks or links to suspicious domains/file-sharing platforms.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email accounts for unauthorized access, forwarding rules, and anomalous collection activity.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 for Metasploit Framework indicators on endpoints and network traffic.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Investigate fraudulent account activity and impersonation on social/professional platforms.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OSINT exposure of personnel in sensitive roles.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Long-term Hardening: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Strengthen defenses against spear-phishing and social engineering.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 monitoring of email systems for forwarding rules and unusual access.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controls to detect and prevent session cookie theft and MFA bypass.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 and monitor for post-exploitation frameworks like Metasploit.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overall credential security and account takeover response.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IOC package and hunting scripts available upon request.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