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/>
        <w:t>Web-to-SQL Group Exercise — Lesson Plan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p>
      <w:pPr>
        <w:pStyle w:val="Heading2"/>
      </w:pPr>
      <w:r>
        <w:rPr/>
        <w:t>1. Administrative and metadata</w:t>
      </w:r>
    </w:p>
    <w:p>
      <w:pPr>
        <w:pStyle w:val="Heading3"/>
      </w:pPr>
      <w:r>
        <w:rPr/>
        <w:t>1.1 Lesson title</w:t>
      </w:r>
    </w:p>
    <w:p>
      <w:pPr/>
      <w:r>
        <w:rPr/>
        <w:t>Web-to-SQL Group Exercise</w:t>
      </w:r>
    </w:p>
    <w:p>
      <w:pPr>
        <w:pStyle w:val="Heading3"/>
      </w:pPr>
      <w:r>
        <w:rPr/>
        <w:t>1.2 Module length</w:t>
      </w:r>
    </w:p>
    <w:p>
      <w:pPr/>
      <w:r>
        <w:rPr/>
        <w:t>630 minutes (10.5 hours)</w:t>
      </w:r>
    </w:p>
    <w:p>
      <w:pPr/>
      <w:r>
        <w:rPr/>
        <w:t>Primary Block 2 group activity. Monday afternoon plus Tuesday (630 minutes). B02.M12-M14 are waived inside this block. Teams that finish early may use leftover time on optional B02.M15.</w:t>
      </w:r>
    </w:p>
    <w:p>
      <w:pPr>
        <w:pStyle w:val="Heading3"/>
      </w:pPr>
      <w:r>
        <w:rPr/>
        <w:t>1.3 Terminal and enabling learning objectives</w:t>
      </w:r>
    </w:p>
    <w:p>
      <w:pPr>
        <w:pStyle w:val="ListBullet"/>
      </w:pPr>
      <w:r>
        <w:rPr>
          <w:b/>
        </w:rPr>
        <w:t>TLO-4:</w:t>
      </w:r>
      <w:r>
        <w:rPr/>
        <w:t xml:space="preserve"> At the end of the Counterstrike Operator Course, students will be able to rapidly access and effect adversary infrastructure</w:t>
      </w:r>
    </w:p>
    <w:p>
      <w:pPr>
        <w:pStyle w:val="ListBullet"/>
      </w:pPr>
      <w:r>
        <w:rPr>
          <w:b/>
        </w:rPr>
        <w:t>ELO-43:</w:t>
      </w:r>
      <w:r>
        <w:rPr/>
        <w:t xml:space="preserve"> Conduct initial access by exploiting public-facing applications</w:t>
      </w:r>
    </w:p>
    <w:p>
      <w:pPr>
        <w:pStyle w:val="ListBullet"/>
      </w:pPr>
      <w:r>
        <w:rPr>
          <w:b/>
        </w:rPr>
        <w:t>ELO-77:</w:t>
      </w:r>
      <w:r>
        <w:rPr/>
        <w:t xml:space="preserve"> Given access to an intermediate host or path, build and verify a pivot or tunnel.</w:t>
      </w:r>
    </w:p>
    <w:p>
      <w:pPr>
        <w:pStyle w:val="Heading3"/>
      </w:pPr>
      <w:r>
        <w:rPr/>
        <w:t>1.4 Prerequisites</w:t>
      </w:r>
    </w:p>
    <w:p>
      <w:pPr>
        <w:pStyle w:val="ListBullet"/>
      </w:pPr>
      <w:r>
        <w:rPr>
          <w:b/>
        </w:rPr>
        <w:t>B02.M11:</w:t>
      </w:r>
      <w:r>
        <w:rPr/>
        <w:t xml:space="preserve"> Austin</w:t>
      </w:r>
    </w:p>
    <w:p>
      <w:pPr>
        <w:pStyle w:val="Heading2"/>
      </w:pPr>
      <w:r>
        <w:rPr/>
        <w:t>2. Personnel, range, and environment</w:t>
      </w:r>
    </w:p>
    <w:p>
      <w:pPr>
        <w:pStyle w:val="Heading3"/>
      </w:pPr>
      <w:r>
        <w:rPr/>
        <w:t>2.1 Instructor and cadre</w:t>
      </w:r>
    </w:p>
    <w:p>
      <w:pPr>
        <w:pStyle w:val="ListBullet"/>
      </w:pPr>
      <w:r>
        <w:rPr/>
        <w:t>1 × instructor (required)</w:t>
      </w:r>
    </w:p>
    <w:p>
      <w:pPr>
        <w:pStyle w:val="ListBullet"/>
      </w:pPr>
      <w:r>
        <w:rPr/>
        <w:t>1 × range_engineer (conditional: Required when this Module's environment needs a range engineer)</w:t>
      </w:r>
    </w:p>
    <w:p>
      <w:pPr>
        <w:pStyle w:val="ListBullet"/>
      </w:pPr>
      <w:r>
        <w:rPr/>
        <w:t>0 × auditor (not_applicable: Not used by this course)</w:t>
      </w:r>
    </w:p>
    <w:p>
      <w:pPr>
        <w:pStyle w:val="ListBullet"/>
      </w:pPr>
      <w:r>
        <w:rPr/>
        <w:t>0 × oversight_officer (not_applicable: Not used by this course)</w:t>
      </w:r>
    </w:p>
    <w:p>
      <w:pPr>
        <w:pStyle w:val="Heading3"/>
      </w:pPr>
      <w:r>
        <w:rPr/>
        <w:t>2.2 Materials and resources</w:t>
      </w:r>
    </w:p>
    <w:p>
      <w:pPr/>
      <w:r>
        <w:rPr>
          <w:b/>
        </w:rPr>
        <w:t>Instructor resources and pre-class preparation</w:t>
      </w:r>
    </w:p>
    <w:p>
      <w:pPr>
        <w:pStyle w:val="ListBullet"/>
      </w:pPr>
      <w:r>
        <w:rPr/>
        <w:t xml:space="preserve">PCTE stack </w:t>
      </w:r>
      <w:r>
        <w:rPr>
          <w:rFonts w:ascii="Consolas" w:hAnsi="Consolas"/>
        </w:rPr>
        <w:t>b02-web-to-sql</w:t>
      </w:r>
      <w:r>
        <w:rPr/>
        <w:t xml:space="preserve"> (required)</w:t>
      </w:r>
    </w:p>
    <w:p>
      <w:pPr>
        <w:pStyle w:val="ListBullet"/>
      </w:pPr>
      <w:r>
        <w:rPr/>
        <w:t>Classroom projector and screen; whiteboard for the opening contract</w:t>
      </w:r>
    </w:p>
    <w:p>
      <w:pPr>
        <w:pStyle w:val="ListBullet"/>
      </w:pPr>
      <w:r>
        <w:rPr/>
        <w:t xml:space="preserve">Confirm live-action stack </w:t>
      </w:r>
      <w:r>
        <w:rPr>
          <w:rFonts w:ascii="Consolas" w:hAnsi="Consolas"/>
        </w:rPr>
        <w:t>b02-web-to-sql</w:t>
      </w:r>
      <w:r>
        <w:rPr/>
        <w:t xml:space="preserve"> is up and stations can ping-scan </w:t>
      </w:r>
      <w:r>
        <w:rPr>
          <w:rFonts w:ascii="Consolas" w:hAnsi="Consolas"/>
        </w:rPr>
        <w:t>200.200.200.1</w:t>
      </w:r>
      <w:r>
        <w:rPr/>
        <w:t xml:space="preserve"> before start</w:t>
      </w:r>
    </w:p>
    <w:p>
      <w:pPr>
        <w:pStyle w:val="ListBullet"/>
      </w:pPr>
      <w:r>
        <w:rPr/>
        <w:t>Progressive hint sheet ready; do not project flags or the full chain</w:t>
      </w:r>
    </w:p>
    <w:p>
      <w:pPr>
        <w:pStyle w:val="ListBullet"/>
      </w:pPr>
      <w:r>
        <w:rPr/>
        <w:t>Do not project flags, tokens, or answer-key values</w:t>
      </w:r>
    </w:p>
    <w:p>
      <w:pPr/>
      <w:r>
        <w:rPr>
          <w:b/>
        </w:rPr>
        <w:t>Student resources and environment</w:t>
      </w:r>
    </w:p>
    <w:p>
      <w:pPr>
        <w:pStyle w:val="ListBullet"/>
      </w:pPr>
      <w:r>
        <w:rPr/>
        <w:t>Student brief in this Module folder</w:t>
      </w:r>
    </w:p>
    <w:p>
      <w:pPr>
        <w:pStyle w:val="ListBullet"/>
      </w:pPr>
      <w:r>
        <w:rPr/>
        <w:t xml:space="preserve">Live-action stack </w:t>
      </w:r>
      <w:r>
        <w:rPr>
          <w:rFonts w:ascii="Consolas" w:hAnsi="Consolas"/>
        </w:rPr>
        <w:t>b02-web-to-sql</w:t>
      </w:r>
      <w:r>
        <w:rPr/>
        <w:t>; known website IP is in the brief (</w:t>
      </w:r>
      <w:r>
        <w:rPr>
          <w:rFonts w:ascii="Consolas" w:hAnsi="Consolas"/>
        </w:rPr>
        <w:t>200.200.200.1</w:t>
      </w:r>
      <w:r>
        <w:rPr/>
        <w:t>)</w:t>
      </w:r>
    </w:p>
    <w:p>
      <w:pPr>
        <w:pStyle w:val="ListBullet"/>
      </w:pPr>
      <w:r>
        <w:rPr/>
        <w:t>No extra kit beyond what the student-facing file already lists</w:t>
      </w:r>
    </w:p>
    <w:p>
      <w:pPr>
        <w:pStyle w:val="ListBullet"/>
      </w:pPr>
      <w:r>
        <w:rPr/>
        <w:t xml:space="preserve">Student sequenced work in this Module: </w:t>
      </w:r>
      <w:r>
        <w:rPr>
          <w:rFonts w:ascii="Consolas" w:hAnsi="Consolas"/>
        </w:rPr>
        <w:t>student-brief.md</w:t>
      </w:r>
      <w:r>
        <w:rPr/>
        <w:t>.</w:t>
      </w:r>
    </w:p>
    <w:p>
      <w:pPr>
        <w:pStyle w:val="Heading3"/>
      </w:pPr>
      <w:r>
        <w:rPr/>
        <w:t>2.3 Setup, go/no-go, and PCTE pointers</w:t>
      </w:r>
    </w:p>
    <w:p>
      <w:pPr/>
      <w:r>
        <w:rPr/>
        <w:t>Point at Module files. Do not copy Puppet or range automation into this plan.</w:t>
      </w:r>
    </w:p>
    <w:p>
      <w:pPr>
        <w:pStyle w:val="ListBullet"/>
      </w:pPr>
      <w:r>
        <w:rPr/>
        <w:t>Setup instructions: no Module-local prep.</w:t>
      </w:r>
    </w:p>
    <w:p>
      <w:pPr>
        <w:pStyle w:val="ListBullet"/>
      </w:pPr>
      <w:r>
        <w:rPr/>
        <w:t>Go/no-go checklist: no Module-local prep.</w:t>
      </w:r>
    </w:p>
    <w:p>
      <w:pPr>
        <w:pStyle w:val="ListBullet"/>
      </w:pPr>
      <w:r>
        <w:rPr/>
        <w:t xml:space="preserve">PCTE stack </w:t>
      </w:r>
      <w:r>
        <w:rPr>
          <w:rFonts w:ascii="Consolas" w:hAnsi="Consolas"/>
        </w:rPr>
        <w:t>b02-web-to-sql</w:t>
      </w:r>
      <w:r>
        <w:rPr/>
        <w:t xml:space="preserve"> (see </w:t>
      </w:r>
      <w:r>
        <w:rPr>
          <w:rFonts w:ascii="Consolas" w:hAnsi="Consolas"/>
        </w:rPr>
        <w:t>pcte.stack_refs</w:t>
      </w:r>
      <w:r>
        <w:rPr/>
        <w:t>).</w:t>
      </w:r>
    </w:p>
    <w:p>
      <w:pPr>
        <w:pStyle w:val="Heading2"/>
      </w:pPr>
      <w:r>
        <w:rPr/>
        <w:t>3. Assessment and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ELO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Related Module</w:t>
            </w:r>
          </w:p>
        </w:tc>
        <w:tc>
          <w:tcPr>
            <w:tcW w:type="dxa" w:w="2160"/>
            <w:shd w:val="clear" w:color="auto" w:fill="365F91"/>
          </w:tcPr>
          <w:p>
            <w:pPr/>
            <w:r>
              <w:rPr>
                <w:b/>
                <w:color w:val="FFFFFF"/>
              </w:rPr>
              <w:t>Criteria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ELO-43</w:t>
            </w:r>
          </w:p>
        </w:tc>
        <w:tc>
          <w:tcPr>
            <w:tcW w:type="dxa" w:w="2160"/>
          </w:tcPr>
          <w:p>
            <w:pPr/>
            <w:r>
              <w:rPr/>
              <w:t>group activity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Use the login path to get code execution on the web tier.</w:t>
            </w:r>
          </w:p>
        </w:tc>
      </w:tr>
      <w:tr>
        <w:tc>
          <w:tcPr>
            <w:tcW w:type="dxa" w:w="2160"/>
          </w:tcPr>
          <w:p>
            <w:pPr/>
            <w:r>
              <w:rPr/>
              <w:t>ELO-77</w:t>
            </w:r>
          </w:p>
        </w:tc>
        <w:tc>
          <w:tcPr>
            <w:tcW w:type="dxa" w:w="2160"/>
          </w:tcPr>
          <w:p>
            <w:pPr/>
            <w:r>
              <w:rPr/>
              <w:t>group activity</w:t>
            </w:r>
          </w:p>
        </w:tc>
        <w:tc>
          <w:tcPr>
            <w:tcW w:type="dxa" w:w="2160"/>
          </w:tcPr>
          <w:p>
            <w:pPr/>
            <w:r>
              <w:rPr/>
              <w:t>—</w:t>
            </w:r>
          </w:p>
        </w:tc>
        <w:tc>
          <w:tcPr>
            <w:tcW w:type="dxa" w:w="2160"/>
          </w:tcPr>
          <w:p>
            <w:pPr/>
            <w:r>
              <w:rPr/>
              <w:t>Reach a segment your attacker position cannot route to directly.</w:t>
            </w:r>
          </w:p>
        </w:tc>
      </w:tr>
    </w:tbl>
    <w:p>
      <w:pPr>
        <w:pStyle w:val="Heading2"/>
      </w:pPr>
      <w:r>
        <w:rPr/>
        <w:t>4. Instructional delivery</w:t>
      </w:r>
    </w:p>
    <w:p>
      <w:pPr>
        <w:pStyle w:val="Heading3"/>
      </w:pPr>
      <w:r>
        <w:rPr/>
        <w:t>4.1 Opening, attention grabber, and motivator</w:t>
      </w:r>
    </w:p>
    <w:p>
      <w:pPr>
        <w:pStyle w:val="Heading4"/>
      </w:pPr>
      <w:r>
        <w:rPr/>
        <w:t>Option 1 (Interactive / Whiteboard / Kinesthetic)</w:t>
      </w:r>
    </w:p>
    <w:p>
      <w:pPr>
        <w:pStyle w:val="ListBullet"/>
      </w:pPr>
      <w:r>
        <w:rPr>
          <w:b/>
        </w:rPr>
        <w:t>Say:</w:t>
      </w:r>
      <w:r>
        <w:rPr/>
        <w:t xml:space="preserve"> "You start with website IP 200.200.200.1, positioned as if coming from the internet. The product is a documented access chain to the backend, not a flag dump."</w:t>
      </w:r>
    </w:p>
    <w:p>
      <w:pPr>
        <w:pStyle w:val="ListBullet"/>
      </w:pPr>
      <w:r>
        <w:rPr>
          <w:b/>
        </w:rPr>
        <w:t>Do:</w:t>
      </w:r>
      <w:r>
        <w:rPr/>
        <w:t xml:space="preserve"> Put the starting website IP on the board. Keep the hint sheet instructor-only.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must the write-up contain besides flags?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A tier-by-tier access chain another operator could follow, with evidence for each transition.</w:t>
      </w:r>
    </w:p>
    <w:p>
      <w:pPr>
        <w:pStyle w:val="Heading4"/>
      </w:pPr>
      <w:r>
        <w:rPr/>
        <w:t>Option 2 (Digital Slide / Virtual / Slide Deck)</w:t>
      </w:r>
    </w:p>
    <w:p>
      <w:pPr>
        <w:pStyle w:val="ListBullet"/>
      </w:pPr>
      <w:r>
        <w:rPr>
          <w:b/>
        </w:rPr>
        <w:t>Say:</w:t>
      </w:r>
      <w:r>
        <w:rPr/>
        <w:t xml:space="preserve"> "You start with website IP 200.200.200.1, positioned as if coming from the internet. The product is a documented access chain to the backend, not a flag dump."</w:t>
      </w:r>
    </w:p>
    <w:p>
      <w:pPr>
        <w:pStyle w:val="ListBullet"/>
      </w:pPr>
      <w:r>
        <w:rPr>
          <w:b/>
        </w:rPr>
        <w:t>Show:</w:t>
      </w:r>
      <w:r>
        <w:rPr/>
        <w:t xml:space="preserve"> The student brief starting point and deliverables.</w:t>
      </w:r>
    </w:p>
    <w:p>
      <w:pPr>
        <w:pStyle w:val="ListBullet"/>
      </w:pPr>
      <w:r>
        <w:rPr>
          <w:b/>
        </w:rPr>
        <w:t>Do:</w:t>
      </w:r>
      <w:r>
        <w:rPr/>
        <w:t xml:space="preserve"> Confirm stations can ping-scan </w:t>
      </w:r>
      <w:r>
        <w:rPr>
          <w:rFonts w:ascii="Consolas" w:hAnsi="Consolas"/>
        </w:rPr>
        <w:t>200.200.200.1</w:t>
      </w:r>
      <w:r>
        <w:rPr/>
        <w:t xml:space="preserve"> from the live-action range before the first teaching row.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must the write-up contain besides flags?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A tier-by-tier access chain another operator could follow, with evidence for each transition.</w:t>
      </w:r>
    </w:p>
    <w:p>
      <w:pPr>
        <w:pStyle w:val="Heading3"/>
      </w:pPr>
      <w:r>
        <w:rPr/>
        <w:t>4.2 Side-by-side table of instruction</w:t>
      </w:r>
    </w:p>
    <w:tbl>
      <w:tblPr>
        <w:tblStyle w:val="TableGrid"/>
        <w:tblW w:type="dxa" w:w="8640"/>
        <w:tblLayout w:type="fixed"/>
        <w:tblLook w:firstColumn="1" w:firstRow="1" w:lastColumn="0" w:lastRow="0" w:noHBand="0" w:noVBand="1" w:val="04A0"/>
      </w:tblPr>
      <w:tblGrid>
        <w:gridCol w:w="3456"/>
        <w:gridCol w:w="5184"/>
      </w:tblGrid>
      <w:tr>
        <w:tc>
          <w:tcPr>
            <w:tcW w:type="dxa" w:w="3456"/>
            <w:shd w:val="clear" w:color="auto" w:fill="365F91"/>
          </w:tcPr>
          <w:p>
            <w:pPr/>
            <w:r>
              <w:rPr>
                <w:b/>
                <w:color w:val="FFFFFF"/>
              </w:rPr>
              <w:t>Visual / Slide Asset</w:t>
            </w:r>
          </w:p>
        </w:tc>
        <w:tc>
          <w:tcPr>
            <w:tcW w:type="dxa" w:w="5184"/>
            <w:shd w:val="clear" w:color="auto" w:fill="365F91"/>
          </w:tcPr>
          <w:p>
            <w:pPr/>
            <w:r>
              <w:rPr>
                <w:b/>
                <w:color w:val="FFFFFF"/>
              </w:rPr>
              <w:t>Instructional Delivery &amp; Instructor Notes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1: Host discovery</w:t>
            </w:r>
          </w:p>
          <w:p>
            <w:pPr/>
            <w:r>
              <w:rPr>
                <w:i/>
              </w:rPr>
              <w:t>Duration: 20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>. Release instructor hints one phase at a time if a team stalls.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2: Service enumeration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>. Release instructor hints one phase at a time if a team stalls.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3: Vulnerability discovery</w:t>
            </w:r>
          </w:p>
          <w:p>
            <w:pPr/>
            <w:r>
              <w:rPr>
                <w:i/>
              </w:rPr>
              <w:t>Duration: 25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>. Release instructor hints one phase at a time if a team stalls.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4: Web shell upload</w:t>
            </w:r>
          </w:p>
          <w:p>
            <w:pPr/>
            <w:r>
              <w:rPr>
                <w:i/>
              </w:rPr>
              <w:t>Duration: 20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>. Release instructor hints one phase at a time if a team stalls.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5: Credential discovery on the web tier</w:t>
            </w:r>
          </w:p>
          <w:p>
            <w:pPr/>
            <w:r>
              <w:rPr>
                <w:i/>
              </w:rPr>
              <w:t>Duration: 15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>. Release instructor hints one phase at a time if a team stalls.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6: Pivot to the database tier</w:t>
            </w:r>
          </w:p>
          <w:p>
            <w:pPr/>
            <w:r>
              <w:rPr>
                <w:i/>
              </w:rPr>
              <w:t>Duration: 25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>. Release instructor hints one phase at a time if a team stalls.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7: Database-tier enumeration</w:t>
            </w:r>
          </w:p>
          <w:p>
            <w:pPr/>
            <w:r>
              <w:rPr>
                <w:i/>
              </w:rPr>
              <w:t>Duration: 20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>. Release instructor hints one phase at a time if a team stalls.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8: MariaDB to a reverse shell</w:t>
            </w:r>
          </w:p>
          <w:p>
            <w:pPr/>
            <w:r>
              <w:rPr>
                <w:i/>
              </w:rPr>
              <w:t>Duration: 20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>. Release instructor hints one phase at a time if a team stalls.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 Teams who recover the mysql-user flag may come to you; walk docker-gcc load/compile from the hint sheet only — do not hand PwnKit source or delivery.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9: Privilege escalation (PwnKit)</w:t>
            </w:r>
          </w:p>
          <w:p>
            <w:pPr/>
            <w:r>
              <w:rPr>
                <w:i/>
              </w:rPr>
              <w:t>Duration: 25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>. Release instructor hints one phase at a time if a team stalls.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brief, not an answer-key value.</w:t>
            </w:r>
          </w:p>
        </w:tc>
      </w:tr>
      <w:tr>
        <w:tc>
          <w:tcPr>
            <w:tcW w:type="dxa" w:w="3456"/>
          </w:tcPr>
          <w:p>
            <w:pPr/>
            <w:r>
              <w:rPr>
                <w:b/>
              </w:rPr>
              <w:t>Step 10: Objective confirmation</w:t>
            </w:r>
          </w:p>
          <w:p>
            <w:pPr/>
            <w:r>
              <w:rPr>
                <w:i/>
              </w:rPr>
              <w:t>Duration: 10 min</w:t>
            </w:r>
          </w:p>
          <w:p>
            <w:pPr/>
            <w:r>
              <w:rPr>
                <w:i/>
              </w:rPr>
              <w:t>Visual:</w:t>
            </w:r>
            <w:r>
              <w:rPr/>
              <w:t xml:space="preserve"> No image required for this lab step.</w:t>
            </w:r>
          </w:p>
        </w:tc>
        <w:tc>
          <w:tcPr>
            <w:tcW w:type="dxa" w:w="5184"/>
          </w:tcPr>
          <w:p>
            <w:pPr/>
            <w:r>
              <w:rPr>
                <w:b/>
              </w:rPr>
              <w:t>Say:</w:t>
            </w:r>
            <w:r>
              <w:rPr/>
              <w:t xml:space="preserve"> "Work this step from the student-facing file. Evidence first; do not skip to the answer key."</w:t>
            </w:r>
          </w:p>
          <w:p>
            <w:pPr/>
          </w:p>
          <w:p>
            <w:pPr/>
            <w:r>
              <w:rPr>
                <w:b/>
              </w:rPr>
              <w:t>Show:</w:t>
            </w:r>
            <w:r>
              <w:rPr/>
              <w:t xml:space="preserve"> Student-facing file for the task; live walkthrough in </w:t>
            </w:r>
            <w:r>
              <w:rPr>
                <w:rFonts w:ascii="Consolas" w:hAnsi="Consolas"/>
              </w:rPr>
              <w:t>answer-key.md</w:t>
            </w:r>
            <w:r>
              <w:rPr/>
              <w:t>. Release instructor hints one phase at a time if a team stalls. Do not read flag values aloud unless grading.</w:t>
            </w:r>
          </w:p>
          <w:p>
            <w:pPr/>
          </w:p>
          <w:p>
            <w:pPr/>
            <w:r>
              <w:rPr>
                <w:b/>
              </w:rPr>
              <w:t>Do:</w:t>
            </w:r>
            <w:r>
              <w:rPr/>
              <w:t xml:space="preserve"> Timebox this step. Troubleshoot access and tool readiness. Do not project flags or tokens.</w:t>
            </w:r>
          </w:p>
          <w:p>
            <w:pPr/>
          </w:p>
          <w:p>
            <w:pPr/>
            <w:r>
              <w:rPr>
                <w:b/>
              </w:rPr>
              <w:t>Ask (Q):</w:t>
            </w:r>
            <w:r>
              <w:rPr/>
              <w:t xml:space="preserve"> What evidence tells you this step is done?</w:t>
            </w:r>
          </w:p>
          <w:p>
            <w:pPr/>
          </w:p>
          <w:p>
            <w:pPr/>
            <w:r>
              <w:rPr>
                <w:b/>
              </w:rPr>
              <w:t>Expected Response (A):</w:t>
            </w:r>
            <w:r>
              <w:rPr/>
              <w:t xml:space="preserve"> A student-facing artifact or observation already named in the brief, not an answer-key value.</w:t>
            </w:r>
          </w:p>
        </w:tc>
      </w:tr>
    </w:tbl>
    <w:p>
      <w:pPr>
        <w:pStyle w:val="Heading3"/>
      </w:pPr>
      <w:r>
        <w:rPr/>
        <w:t>4.3 Lesson summary</w:t>
      </w:r>
    </w:p>
    <w:p>
      <w:pPr>
        <w:pStyle w:val="ListBullet"/>
      </w:pPr>
      <w:r>
        <w:rPr/>
        <w:t>Web-to-SQL is executed as a generated lesson plan from this file.</w:t>
      </w:r>
    </w:p>
    <w:p>
      <w:pPr>
        <w:pStyle w:val="ListBullet"/>
      </w:pPr>
      <w:r>
        <w:rPr/>
        <w:t>The live chain is in the answer key; hints release one phase at a time.</w:t>
      </w:r>
    </w:p>
    <w:p>
      <w:pPr>
        <w:pStyle w:val="ListBullet"/>
      </w:pPr>
      <w:r>
        <w:rPr/>
        <w:t>Next Module in the Block sequence continues from the product this session collects.</w:t>
      </w:r>
    </w:p>
    <w:p>
      <w:pPr>
        <w:pStyle w:val="Heading3"/>
      </w:pPr>
      <w:r>
        <w:rPr/>
        <w:t>4.4 Questions and check on learning</w:t>
      </w:r>
    </w:p>
    <w:p>
      <w:pPr>
        <w:pStyle w:val="ListBullet"/>
      </w:pPr>
      <w:r>
        <w:rPr>
          <w:b/>
        </w:rPr>
        <w:t>Ask (Q):</w:t>
      </w:r>
      <w:r>
        <w:rPr/>
        <w:t xml:space="preserve"> What product does this lab collect, and what must not appear in the evidence?</w:t>
      </w:r>
    </w:p>
    <w:p>
      <w:pPr>
        <w:pStyle w:val="ListBullet"/>
      </w:pPr>
      <w:r>
        <w:rPr>
          <w:b/>
        </w:rPr>
        <w:t>Expected Response (A):</w:t>
      </w:r>
      <w:r>
        <w:rPr/>
        <w:t xml:space="preserve"> The documented access chain and three flags. Do not put answer-key values in screenshots or the lesson plan.</w:t>
      </w:r>
    </w:p>
    <w:p>
      <w:pPr>
        <w:pStyle w:val="Heading2"/>
      </w:pPr>
      <w:r>
        <w:rPr/>
        <w:t>5. Classification</w:t>
      </w:r>
    </w:p>
    <w:p>
      <w:pPr>
        <w:pStyle w:val="IntenseQuote"/>
      </w:pPr>
      <w:r>
        <w:rPr>
          <w:b/>
        </w:rPr>
        <w:t>Classification:</w:t>
      </w:r>
      <w:r>
        <w:rPr/>
        <w:t xml:space="preserve"> UNCLASSIFIED</w:t>
      </w:r>
    </w:p>
    <w:sectPr w:rsidR="002B43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2747939">
    <w:abstractNumId w:val="8"/>
  </w:num>
  <w:num w:numId="2" w16cid:durableId="633826257">
    <w:abstractNumId w:val="6"/>
  </w:num>
  <w:num w:numId="3" w16cid:durableId="295572296">
    <w:abstractNumId w:val="5"/>
  </w:num>
  <w:num w:numId="4" w16cid:durableId="1086153044">
    <w:abstractNumId w:val="4"/>
  </w:num>
  <w:num w:numId="5" w16cid:durableId="742489334">
    <w:abstractNumId w:val="7"/>
  </w:num>
  <w:num w:numId="6" w16cid:durableId="502860231">
    <w:abstractNumId w:val="3"/>
  </w:num>
  <w:num w:numId="7" w16cid:durableId="1942949718">
    <w:abstractNumId w:val="2"/>
  </w:num>
  <w:num w:numId="8" w16cid:durableId="1462458761">
    <w:abstractNumId w:val="1"/>
  </w:num>
  <w:num w:numId="9" w16cid:durableId="143100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43DB"/>
    <w:rsid w:val="00326F90"/>
    <w:rsid w:val="005D59EE"/>
    <w:rsid w:val="007C0A9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D5A958"/>
  <w14:defaultImageDpi w14:val="300"/>
  <w15:docId w15:val="{7BEDE890-288E-4F68-9B12-D37F14E7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12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12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nvasCodeBlock">
    <w:name w:val="CanvasCodeBlock"/>
    <w:basedOn w:val="NoSpacing"/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2010</Words>
  <Characters>11462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Plan</dc:title>
  <dc:subject>Per-Module lesson plan (lesson_plan_v1)</dc:subject>
  <dc:creator>Counterstrike Operator Course</dc:creator>
  <cp:keywords/>
  <dc:description>Style shell from the ISD extraction Word file. Agent prompts and example copy have been removed. Fill via tools/render_lesson_plan_docx.py.</dc:description>
  <cp:lastModifiedBy>Mattson, Sarah E</cp:lastModifiedBy>
  <cp:revision>2</cp:revision>
  <dcterms:created xsi:type="dcterms:W3CDTF">2013-12-23T23:15:00Z</dcterms:created>
  <dcterms:modified xsi:type="dcterms:W3CDTF">2026-09-09T14:22:00Z</dcterms:modified>
  <cp:category/>
  <dc:language>en-US</dc:language>
</cp:coreProperties>
</file>