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>Philadelphia — Lesson Plan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p>
      <w:pPr>
        <w:pStyle w:val="Heading2"/>
      </w:pPr>
      <w:r>
        <w:rPr/>
        <w:t>1. Administrative and metadata</w:t>
      </w:r>
    </w:p>
    <w:p>
      <w:pPr>
        <w:pStyle w:val="Heading3"/>
      </w:pPr>
      <w:r>
        <w:rPr/>
        <w:t>1.1 Lesson title</w:t>
      </w:r>
    </w:p>
    <w:p>
      <w:pPr/>
      <w:r>
        <w:rPr/>
        <w:t>Philadelphia</w:t>
      </w:r>
    </w:p>
    <w:p>
      <w:pPr>
        <w:pStyle w:val="Heading3"/>
      </w:pPr>
      <w:r>
        <w:rPr/>
        <w:t>1.2 Module length</w:t>
      </w:r>
    </w:p>
    <w:p>
      <w:pPr/>
      <w:r>
        <w:rPr/>
        <w:t>90 minutes (1.5 hours)</w:t>
      </w:r>
    </w:p>
    <w:p>
      <w:pPr/>
      <w:r>
        <w:rPr/>
        <w:t>Schedule slot is 90 minutes (in-class VulnHub TGT 1, extended to fill Week 1 Thursday). No Duration header in the brief.</w:t>
      </w:r>
    </w:p>
    <w:p>
      <w:pPr>
        <w:pStyle w:val="Heading3"/>
      </w:pPr>
      <w:r>
        <w:rPr/>
        <w:t>1.3 Terminal and enabling learning objectives</w:t>
      </w:r>
    </w:p>
    <w:p>
      <w:pPr>
        <w:pStyle w:val="ListBullet"/>
      </w:pPr>
      <w:r>
        <w:rPr>
          <w:b/>
        </w:rPr>
        <w:t>TLO-4:</w:t>
      </w:r>
      <w:r>
        <w:rPr/>
        <w:t xml:space="preserve"> At the end of the Counterstrike Operator Course, students will be able to rapidly access and effect adversary infrastructure</w:t>
      </w:r>
    </w:p>
    <w:p>
      <w:pPr>
        <w:pStyle w:val="ListBullet"/>
      </w:pPr>
      <w:r>
        <w:rPr>
          <w:b/>
        </w:rPr>
        <w:t>ELO-38:</w:t>
      </w:r>
      <w:r>
        <w:rPr/>
        <w:t xml:space="preserve"> Recognize initial access opportunities</w:t>
      </w:r>
    </w:p>
    <w:p>
      <w:pPr>
        <w:pStyle w:val="ListBullet"/>
      </w:pPr>
      <w:r>
        <w:rPr>
          <w:b/>
        </w:rPr>
        <w:t>ELO-43:</w:t>
      </w:r>
      <w:r>
        <w:rPr/>
        <w:t xml:space="preserve"> Conduct initial access by exploiting public-facing applications</w:t>
      </w:r>
    </w:p>
    <w:p>
      <w:pPr>
        <w:pStyle w:val="Heading3"/>
      </w:pPr>
      <w:r>
        <w:rPr/>
        <w:t>1.4 Prerequisites</w:t>
      </w:r>
    </w:p>
    <w:p>
      <w:pPr>
        <w:pStyle w:val="ListBullet"/>
      </w:pPr>
      <w:r>
        <w:rPr>
          <w:b/>
        </w:rPr>
        <w:t>B02.M04:</w:t>
      </w:r>
      <w:r>
        <w:rPr/>
        <w:t xml:space="preserve"> Tunneling and Pivot</w:t>
      </w:r>
    </w:p>
    <w:p>
      <w:pPr>
        <w:pStyle w:val="Heading2"/>
      </w:pPr>
      <w:r>
        <w:rPr/>
        <w:t>2. Personnel, range, and environment</w:t>
      </w:r>
    </w:p>
    <w:p>
      <w:pPr>
        <w:pStyle w:val="Heading3"/>
      </w:pPr>
      <w:r>
        <w:rPr/>
        <w:t>2.1 Instructor and cadre</w:t>
      </w:r>
    </w:p>
    <w:p>
      <w:pPr>
        <w:pStyle w:val="ListBullet"/>
      </w:pPr>
      <w:r>
        <w:rPr/>
        <w:t>1 × instructor (required)</w:t>
      </w:r>
    </w:p>
    <w:p>
      <w:pPr>
        <w:pStyle w:val="ListBullet"/>
      </w:pPr>
      <w:r>
        <w:rPr/>
        <w:t>1 × range_engineer (conditional: Required when the shared VulnHub stack needs deploy, reset, or NIC passthrough support)</w:t>
      </w:r>
    </w:p>
    <w:p>
      <w:pPr>
        <w:pStyle w:val="ListBullet"/>
      </w:pPr>
      <w:r>
        <w:rPr/>
        <w:t>0 × auditor (not_applicable: Not used by this course)</w:t>
      </w:r>
    </w:p>
    <w:p>
      <w:pPr>
        <w:pStyle w:val="ListBullet"/>
      </w:pPr>
      <w:r>
        <w:rPr/>
        <w:t>0 × oversight_officer (not_applicable: Not used by this course)</w:t>
      </w:r>
    </w:p>
    <w:p>
      <w:pPr>
        <w:pStyle w:val="Heading3"/>
      </w:pPr>
      <w:r>
        <w:rPr/>
        <w:t>2.2 Materials and resources</w:t>
      </w:r>
    </w:p>
    <w:p>
      <w:pPr/>
      <w:r>
        <w:rPr>
          <w:b/>
        </w:rPr>
        <w:t>Instructor resources and pre-class preparation</w:t>
      </w:r>
    </w:p>
    <w:p>
      <w:pPr>
        <w:pStyle w:val="ListBullet"/>
      </w:pPr>
      <w:r>
        <w:rPr/>
        <w:t xml:space="preserve">PCTE stack </w:t>
      </w:r>
      <w:r>
        <w:rPr>
          <w:rFonts w:ascii="Consolas" w:hAnsi="Consolas"/>
        </w:rPr>
        <w:t>city-vulnhub</w:t>
      </w:r>
      <w:r>
        <w:rPr/>
        <w:t xml:space="preserve"> (required)</w:t>
      </w:r>
    </w:p>
    <w:p>
      <w:pPr>
        <w:pStyle w:val="ListBullet"/>
      </w:pPr>
      <w:r>
        <w:rPr/>
        <w:t>Classroom projector and screen; whiteboard for the opening contract</w:t>
      </w:r>
    </w:p>
    <w:p>
      <w:pPr>
        <w:pStyle w:val="ListBullet"/>
      </w:pPr>
      <w:r>
        <w:rPr/>
        <w:t>Parent or sibling briefs listed in this Module folder</w:t>
      </w:r>
    </w:p>
    <w:p>
      <w:pPr>
        <w:pStyle w:val="ListBullet"/>
      </w:pPr>
      <w:r>
        <w:rPr/>
        <w:t>Live tabs and references already named in this file's header</w:t>
      </w:r>
    </w:p>
    <w:p>
      <w:pPr>
        <w:pStyle w:val="ListBullet"/>
      </w:pPr>
      <w:r>
        <w:rPr/>
        <w:t>Do not project flags, tokens, or answer-key values</w:t>
      </w:r>
    </w:p>
    <w:p>
      <w:pPr/>
      <w:r>
        <w:rPr>
          <w:b/>
        </w:rPr>
        <w:t>Student resources and environment</w:t>
      </w:r>
    </w:p>
    <w:p>
      <w:pPr>
        <w:pStyle w:val="ListBullet"/>
      </w:pPr>
      <w:r>
        <w:rPr/>
        <w:t>Student brief, student guide, or homework file in this Module folder when present</w:t>
      </w:r>
    </w:p>
    <w:p>
      <w:pPr>
        <w:pStyle w:val="ListBullet"/>
      </w:pPr>
      <w:r>
        <w:rPr/>
        <w:t>Assigned range, workstation, or lab stack named in the student-facing file</w:t>
      </w:r>
    </w:p>
    <w:p>
      <w:pPr>
        <w:pStyle w:val="ListBullet"/>
      </w:pPr>
      <w:r>
        <w:rPr/>
        <w:t>No extra kit beyond what the student-facing file already lists</w:t>
      </w:r>
    </w:p>
    <w:p>
      <w:pPr>
        <w:pStyle w:val="ListBullet"/>
      </w:pPr>
      <w:r>
        <w:rPr/>
        <w:t xml:space="preserve">Student sequenced work in this Module: </w:t>
      </w:r>
      <w:r>
        <w:rPr>
          <w:rFonts w:ascii="Consolas" w:hAnsi="Consolas"/>
        </w:rPr>
        <w:t>student-brief.md</w:t>
      </w:r>
      <w:r>
        <w:rPr/>
        <w:t>.</w:t>
      </w:r>
    </w:p>
    <w:p>
      <w:pPr>
        <w:pStyle w:val="Heading3"/>
      </w:pPr>
      <w:r>
        <w:rPr/>
        <w:t>2.3 Setup, go/no-go, and PCTE pointers</w:t>
      </w:r>
    </w:p>
    <w:p>
      <w:pPr/>
      <w:r>
        <w:rPr/>
        <w:t>Point at Module files. Do not copy Puppet or range automation into this plan.</w:t>
      </w:r>
    </w:p>
    <w:p>
      <w:pPr>
        <w:pStyle w:val="ListBullet"/>
      </w:pPr>
      <w:r>
        <w:rPr/>
        <w:t>Setup instructions: shared stack; deploy lives in environments/pcte_vulnhub_targets.</w:t>
      </w:r>
    </w:p>
    <w:p>
      <w:pPr>
        <w:pStyle w:val="ListBullet"/>
      </w:pPr>
      <w:r>
        <w:rPr/>
        <w:t>Go/no-go checklist: shared stack readiness is environment-wide, not Module-local.</w:t>
      </w:r>
    </w:p>
    <w:p>
      <w:pPr>
        <w:pStyle w:val="ListBullet"/>
      </w:pPr>
      <w:r>
        <w:rPr/>
        <w:t xml:space="preserve">PCTE stack </w:t>
      </w:r>
      <w:r>
        <w:rPr>
          <w:rFonts w:ascii="Consolas" w:hAnsi="Consolas"/>
        </w:rPr>
        <w:t>city-vulnhub</w:t>
      </w:r>
      <w:r>
        <w:rPr/>
        <w:t xml:space="preserve"> (see </w:t>
      </w:r>
      <w:r>
        <w:rPr>
          <w:rFonts w:ascii="Consolas" w:hAnsi="Consolas"/>
        </w:rPr>
        <w:t>pcte.stack_refs</w:t>
      </w:r>
      <w:r>
        <w:rPr/>
        <w:t>).</w:t>
      </w:r>
    </w:p>
    <w:p>
      <w:pPr>
        <w:pStyle w:val="Heading2"/>
      </w:pPr>
      <w:r>
        <w:rPr/>
        <w:t>3. Assessment and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ELO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Related Module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Criteria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ELO-38</w:t>
            </w:r>
          </w:p>
        </w:tc>
        <w:tc>
          <w:tcPr>
            <w:tcW w:type="dxa" w:w="2160"/>
          </w:tcPr>
          <w:p>
            <w:pPr/>
            <w:r>
              <w:rPr/>
              <w:t>lab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Student-facing lab deliverable for this Module.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ELO-43</w:t>
            </w:r>
          </w:p>
        </w:tc>
        <w:tc>
          <w:tcPr>
            <w:tcW w:type="dxa" w:w="2160"/>
          </w:tcPr>
          <w:p>
            <w:pPr/>
            <w:r>
              <w:rPr/>
              <w:t>quiz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Moodle flag quiz for the assigned target.</w:t>
            </w:r>
          </w:p>
        </w:tc>
      </w:tr>
    </w:tbl>
    <w:p>
      <w:pPr>
        <w:pStyle w:val="Heading2"/>
      </w:pPr>
      <w:r>
        <w:rPr/>
        <w:t>4. Instructional delivery</w:t>
      </w:r>
    </w:p>
    <w:p>
      <w:pPr>
        <w:pStyle w:val="Heading3"/>
      </w:pPr>
      <w:r>
        <w:rPr/>
        <w:t>4.1 Opening, attention grabber, and motivator</w:t>
      </w:r>
    </w:p>
    <w:p>
      <w:pPr>
        <w:pStyle w:val="Heading4"/>
      </w:pPr>
      <w:r>
        <w:rPr/>
        <w:t>Option 1 (Interactive / Whiteboard / Kinesthetic)</w:t>
      </w:r>
    </w:p>
    <w:p>
      <w:pPr>
        <w:pStyle w:val="ListBullet"/>
      </w:pPr>
      <w:r>
        <w:rPr>
          <w:b/>
        </w:rPr>
        <w:t>Say:</w:t>
      </w:r>
      <w:r>
        <w:rPr/>
        <w:t xml:space="preserve"> "Philadelphia: students execute the assigned lab workflow and collect the stated deliverable."</w:t>
      </w:r>
    </w:p>
    <w:p>
      <w:pPr>
        <w:pStyle w:val="ListBullet"/>
      </w:pPr>
      <w:r>
        <w:rPr>
          <w:b/>
        </w:rPr>
        <w:t>Do:</w:t>
      </w:r>
      <w:r>
        <w:rPr/>
        <w:t xml:space="preserve"> Put the lesson contract on the board. Keep products from the prerequisite Module available.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4"/>
      </w:pPr>
      <w:r>
        <w:rPr/>
        <w:t>Option 2 (Digital Slide / Virtual / Slide Deck)</w:t>
      </w:r>
    </w:p>
    <w:p>
      <w:pPr>
        <w:pStyle w:val="ListBullet"/>
      </w:pPr>
      <w:r>
        <w:rPr>
          <w:b/>
        </w:rPr>
        <w:t>Say:</w:t>
      </w:r>
      <w:r>
        <w:rPr/>
        <w:t xml:space="preserve"> "Philadelphia: students execute the assigned lab workflow and collect the stated deliverable."</w:t>
      </w:r>
    </w:p>
    <w:p>
      <w:pPr>
        <w:pStyle w:val="ListBullet"/>
      </w:pPr>
      <w:r>
        <w:rPr>
          <w:b/>
        </w:rPr>
        <w:t>Show:</w:t>
      </w:r>
      <w:r>
        <w:rPr/>
        <w:t xml:space="preserve"> The student brief objective and assigned scope.</w:t>
      </w:r>
    </w:p>
    <w:p>
      <w:pPr>
        <w:pStyle w:val="ListBullet"/>
      </w:pPr>
      <w:r>
        <w:rPr>
          <w:b/>
        </w:rPr>
        <w:t>Do:</w:t>
      </w:r>
      <w:r>
        <w:rPr/>
        <w:t xml:space="preserve"> Confirm stations can open the required tool or file before the first teaching row.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3"/>
      </w:pPr>
      <w:r>
        <w:rPr/>
        <w:t>4.2 Side-by-side table of instruction</w:t>
      </w:r>
    </w:p>
    <w:tbl>
      <w:tblPr>
        <w:tblStyle w:val="TableGrid"/>
        <w:tblW w:type="dxa" w:w="8640"/>
        <w:tblLayout w:type="fixed"/>
        <w:tblLook w:firstColumn="1" w:firstRow="1" w:lastColumn="0" w:lastRow="0" w:noHBand="0" w:noVBand="1" w:val="04A0"/>
      </w:tblPr>
      <w:tblGrid>
        <w:gridCol w:w="3456"/>
        <w:gridCol w:w="5184"/>
      </w:tblGrid>
      <w:tr>
        <w:tc>
          <w:tcPr>
            <w:tcW w:type="dxa" w:w="3456"/>
            <w:shd w:val="clear" w:color="auto" w:fill="365F91"/>
          </w:tcPr>
          <w:p>
            <w:pPr/>
            <w:r>
              <w:rPr>
                <w:b/>
                <w:color w:val="FFFFFF"/>
              </w:rPr>
              <w:t>Visual / Slide Asset</w:t>
            </w:r>
          </w:p>
        </w:tc>
        <w:tc>
          <w:tcPr>
            <w:tcW w:type="dxa" w:w="5184"/>
            <w:shd w:val="clear" w:color="auto" w:fill="365F91"/>
          </w:tcPr>
          <w:p>
            <w:pPr/>
            <w:r>
              <w:rPr>
                <w:b/>
                <w:color w:val="FFFFFF"/>
              </w:rPr>
              <w:t>Instructional Delivery &amp; Instructor Notes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1: Orient on the assigned subnet only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2: Discover live hosts and services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3: Follow evidence to an access path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4: Collect the flag and submit the quiz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</w:tbl>
    <w:p>
      <w:pPr>
        <w:pStyle w:val="Heading3"/>
      </w:pPr>
      <w:r>
        <w:rPr/>
        <w:t>4.3 Lesson summary</w:t>
      </w:r>
    </w:p>
    <w:p>
      <w:pPr>
        <w:pStyle w:val="ListBullet"/>
      </w:pPr>
      <w:r>
        <w:rPr/>
        <w:t>Philadelphia is executed as a generated lesson plan from this file.</w:t>
      </w:r>
    </w:p>
    <w:p>
      <w:pPr>
        <w:pStyle w:val="ListBullet"/>
      </w:pPr>
      <w:r>
        <w:rPr/>
        <w:t>Assessment methods live on module.yaml; do not invent extra official ELOs.</w:t>
      </w:r>
    </w:p>
    <w:p>
      <w:pPr>
        <w:pStyle w:val="ListBullet"/>
      </w:pPr>
      <w:r>
        <w:rPr/>
        <w:t>Next Module in the Block sequence continues from the product this session collects.</w:t>
      </w:r>
    </w:p>
    <w:p>
      <w:pPr>
        <w:pStyle w:val="Heading3"/>
      </w:pPr>
      <w:r>
        <w:rPr/>
        <w:t>4.4 Questions and check on learning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2"/>
      </w:pPr>
      <w:r>
        <w:rPr/>
        <w:t>5. Classification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sectPr w:rsidR="002B43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747939">
    <w:abstractNumId w:val="8"/>
  </w:num>
  <w:num w:numId="2" w16cid:durableId="633826257">
    <w:abstractNumId w:val="6"/>
  </w:num>
  <w:num w:numId="3" w16cid:durableId="295572296">
    <w:abstractNumId w:val="5"/>
  </w:num>
  <w:num w:numId="4" w16cid:durableId="1086153044">
    <w:abstractNumId w:val="4"/>
  </w:num>
  <w:num w:numId="5" w16cid:durableId="742489334">
    <w:abstractNumId w:val="7"/>
  </w:num>
  <w:num w:numId="6" w16cid:durableId="502860231">
    <w:abstractNumId w:val="3"/>
  </w:num>
  <w:num w:numId="7" w16cid:durableId="1942949718">
    <w:abstractNumId w:val="2"/>
  </w:num>
  <w:num w:numId="8" w16cid:durableId="1462458761">
    <w:abstractNumId w:val="1"/>
  </w:num>
  <w:num w:numId="9" w16cid:durableId="143100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3DB"/>
    <w:rsid w:val="00326F90"/>
    <w:rsid w:val="005D59EE"/>
    <w:rsid w:val="007C0A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5A958"/>
  <w14:defaultImageDpi w14:val="300"/>
  <w15:docId w15:val="{7BEDE890-288E-4F68-9B12-D37F14E7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12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CodeBlock">
    <w:name w:val="CanvasCodeBlock"/>
    <w:basedOn w:val="NoSpacing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2010</Words>
  <Characters>11462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Plan</dc:title>
  <dc:subject>Per-Module lesson plan (lesson_plan_v1)</dc:subject>
  <dc:creator>Counterstrike Operator Course</dc:creator>
  <cp:keywords/>
  <dc:description>Style shell from the ISD extraction Word file. Agent prompts and example copy have been removed. Fill via tools/render_lesson_plan_docx.py.</dc:description>
  <cp:lastModifiedBy>Mattson, Sarah E</cp:lastModifiedBy>
  <cp:revision>2</cp:revision>
  <dcterms:created xsi:type="dcterms:W3CDTF">2013-12-23T23:15:00Z</dcterms:created>
  <dcterms:modified xsi:type="dcterms:W3CDTF">2026-09-09T14:22:00Z</dcterms:modified>
  <cp:category/>
  <dc:language>en-US</dc:language>
</cp:coreProperties>
</file>