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07E8A"/>
          <w:sz w:val="22"/>
        </w:rPr>
        <w:t>SMART INDIA HACKATHON 2026 | EXECUTIVE ABSTRACT &amp; POLICY BRIEF</w:t>
        <w:br/>
      </w:r>
      <w:r>
        <w:rPr>
          <w:rFonts w:ascii="Calibri" w:hAnsi="Calibri"/>
          <w:b/>
          <w:color w:val="1B365D"/>
          <w:sz w:val="48"/>
        </w:rPr>
        <w:t>DRISHTI-SKILLING (दृष्टि-कौशल)</w:t>
      </w:r>
    </w:p>
    <w:p>
      <w:pPr>
        <w:spacing w:before="40" w:after="240"/>
      </w:pPr>
      <w:r>
        <w:rPr>
          <w:rFonts w:ascii="Calibri" w:hAnsi="Calibri"/>
          <w:b/>
          <w:color w:val="1E293B"/>
          <w:sz w:val="26"/>
        </w:rPr>
        <w:t>Strategic Executive Summary: Edge-Native Governance, Privacy-First Compliance, and Real-Time Subsidy Safeguards for Vocational Education</w:t>
      </w:r>
    </w:p>
    <w:tbl>
      <w:tblPr>
        <w:tblW w:type="auto" w:w="0"/>
        <w:tblLayout w:type="fixed"/>
        <w:tblLook w:firstColumn="1" w:firstRow="1" w:lastColumn="0" w:lastRow="0" w:noHBand="0" w:noVBand="1" w:val="04A0"/>
      </w:tblPr>
      <w:tblGrid>
        <w:gridCol w:w="9360"/>
      </w:tblGrid>
      <w:tr>
        <w:tc>
          <w:tcPr>
            <w:tcW w:type="dxa" w:w="9360"/>
            <w:shd w:fill="F8FAFC"/>
            <w:tcBorders>
              <w:left w:val="single" w:sz="24" w:space="0" w:color="007E8A"/>
              <w:top w:val="none"/>
              <w:right w:val="none"/>
              <w:bottom w:val="none"/>
            </w:tcBorders>
          </w:tcPr>
          <w:p>
            <w:pPr>
              <w:spacing w:before="120" w:after="120" w:line="300" w:lineRule="auto"/>
            </w:pPr>
            <w:r>
              <w:rPr>
                <w:rFonts w:ascii="Calibri" w:hAnsi="Calibri"/>
                <w:b/>
                <w:color w:val="1B365D"/>
                <w:sz w:val="19"/>
              </w:rPr>
              <w:t>Initiative &amp; Track:</w:t>
            </w:r>
            <w:r>
              <w:rPr>
                <w:rFonts w:ascii="Calibri" w:hAnsi="Calibri"/>
                <w:color w:val="1E293B"/>
                <w:sz w:val="19"/>
              </w:rPr>
              <w:t xml:space="preserve"> Smart India Hackathon 2026 | Problem Statement #26245 (Software Edition)</w:t>
            </w:r>
          </w:p>
          <w:p>
            <w:pPr>
              <w:spacing w:before="40" w:after="40" w:line="300" w:lineRule="auto"/>
            </w:pPr>
            <w:r>
              <w:rPr>
                <w:rFonts w:ascii="Calibri" w:hAnsi="Calibri"/>
                <w:b/>
                <w:color w:val="1B365D"/>
                <w:sz w:val="19"/>
              </w:rPr>
              <w:t>Problem Statement Title:</w:t>
            </w:r>
            <w:r>
              <w:rPr>
                <w:rFonts w:ascii="Calibri" w:hAnsi="Calibri"/>
                <w:color w:val="1E293B"/>
                <w:sz w:val="19"/>
              </w:rPr>
              <w:t xml:space="preserve"> AI-Based Real-Time Monitoring of Training Centres for Attendance and Infrastructure Compliance</w:t>
            </w:r>
          </w:p>
          <w:p>
            <w:pPr>
              <w:spacing w:before="40" w:after="40" w:line="300" w:lineRule="auto"/>
            </w:pPr>
            <w:r>
              <w:rPr>
                <w:rFonts w:ascii="Calibri" w:hAnsi="Calibri"/>
                <w:b/>
                <w:color w:val="1B365D"/>
                <w:sz w:val="19"/>
              </w:rPr>
              <w:t>Lead Submitter:</w:t>
            </w:r>
            <w:r>
              <w:rPr>
                <w:rFonts w:ascii="Calibri" w:hAnsi="Calibri"/>
                <w:color w:val="1E293B"/>
                <w:sz w:val="19"/>
              </w:rPr>
              <w:t xml:space="preserve"> Team HackSolvers (ID: 176579) | Theme: Smart Education / Smart Automation</w:t>
            </w:r>
          </w:p>
          <w:p>
            <w:pPr>
              <w:spacing w:before="40" w:after="40" w:line="300" w:lineRule="auto"/>
            </w:pPr>
            <w:r>
              <w:rPr>
                <w:rFonts w:ascii="Calibri" w:hAnsi="Calibri"/>
                <w:b/>
                <w:color w:val="1B365D"/>
                <w:sz w:val="19"/>
              </w:rPr>
              <w:t>Nodal Stakeholder:</w:t>
            </w:r>
            <w:r>
              <w:rPr>
                <w:rFonts w:ascii="Calibri" w:hAnsi="Calibri"/>
                <w:color w:val="1E293B"/>
                <w:sz w:val="19"/>
              </w:rPr>
              <w:t xml:space="preserve"> Ministry of Skill Development and Entrepreneurship (MSDE) &amp; NSDC</w:t>
            </w:r>
          </w:p>
          <w:p>
            <w:pPr>
              <w:spacing w:before="40" w:after="40" w:line="300" w:lineRule="auto"/>
            </w:pPr>
            <w:r>
              <w:rPr>
                <w:rFonts w:ascii="Calibri" w:hAnsi="Calibri"/>
                <w:b/>
                <w:color w:val="1B365D"/>
                <w:sz w:val="19"/>
              </w:rPr>
              <w:t>Live Operational Sandbox:</w:t>
            </w:r>
            <w:r>
              <w:rPr>
                <w:rFonts w:ascii="Calibri" w:hAnsi="Calibri"/>
                <w:color w:val="1E293B"/>
                <w:sz w:val="19"/>
              </w:rPr>
              <w:t xml:space="preserve"> https://drishti-skilling.vercel.app/</w:t>
            </w:r>
          </w:p>
          <w:p>
            <w:pPr>
              <w:spacing w:before="40" w:after="40" w:line="300" w:lineRule="auto"/>
            </w:pPr>
            <w:r>
              <w:rPr>
                <w:rFonts w:ascii="Calibri" w:hAnsi="Calibri"/>
                <w:b/>
                <w:color w:val="1B365D"/>
                <w:sz w:val="19"/>
              </w:rPr>
              <w:t>Open-Source Blueprint:</w:t>
            </w:r>
            <w:r>
              <w:rPr>
                <w:rFonts w:ascii="Calibri" w:hAnsi="Calibri"/>
                <w:color w:val="1E293B"/>
                <w:sz w:val="19"/>
              </w:rPr>
              <w:t xml:space="preserve"> https://github.com/aetherpixels/drishti-skilling</w:t>
            </w:r>
          </w:p>
        </w:tc>
      </w:tr>
    </w:tbl>
    <w:p>
      <w:pPr>
        <w:spacing w:after="160"/>
      </w:pPr>
    </w:p>
    <w:p>
      <w:pPr>
        <w:keepNext/>
        <w:spacing w:before="320" w:after="80"/>
      </w:pPr>
      <w:r>
        <w:rPr>
          <w:rFonts w:ascii="Calibri" w:hAnsi="Calibri"/>
          <w:b/>
          <w:color w:val="1B365D"/>
          <w:sz w:val="30"/>
        </w:rPr>
        <w:t>1. EXECUTIVE BRIEF: The Paradigm Shift in Vocational Vigilance</w:t>
      </w:r>
    </w:p>
    <w:p>
      <w:pPr>
        <w:spacing w:before="0" w:after="120" w:line="276" w:lineRule="auto"/>
      </w:pPr>
      <w:r>
        <w:rPr>
          <w:rFonts w:ascii="Calibri" w:hAnsi="Calibri"/>
          <w:color w:val="1E293B"/>
          <w:sz w:val="21"/>
        </w:rPr>
        <w:t>Every year, public exchequers commit over four thousand crores of rupees toward national skilling programs, subsidizing vocational training across fifteen thousand accredited institutes. However, conventional monitoring methods remain fundamentally episodic, paper-dependent, and reactive. National vigilance relies on post-facto physical inspections occurring once or twice a year—by which time fraudulent training claims have already been approved, disbursed, and siphoned.</w:t>
      </w:r>
    </w:p>
    <w:p>
      <w:pPr>
        <w:spacing w:before="0" w:after="120" w:line="276" w:lineRule="auto"/>
      </w:pPr>
      <w:r>
        <w:rPr>
          <w:rFonts w:ascii="Calibri" w:hAnsi="Calibri"/>
          <w:color w:val="1E293B"/>
          <w:sz w:val="21"/>
        </w:rPr>
        <w:t>Drishti-Skilling replaces this broken paradigm with proactive, automated edge intelligence. Rather than attempting to stream millions of hours of unmanageable, privacy-invasive video to central government offices, Drishti-Skilling computes compliance directly at the training facility. By converting existing facility CCTV cameras into automated audit sensors, the system extracts proof of human training activity and machinery utilization on-premise, destroys all facial identities in computer memory to protect citizen privacy, and dispatches only encrypted, low-bandwidth numerical proof packets to the Ministry.</w:t>
      </w:r>
    </w:p>
    <w:p>
      <w:pPr>
        <w:spacing w:before="0" w:after="120" w:line="276" w:lineRule="auto"/>
      </w:pPr>
      <w:r>
        <w:rPr>
          <w:rFonts w:ascii="Calibri" w:hAnsi="Calibri"/>
          <w:color w:val="1E293B"/>
          <w:sz w:val="21"/>
        </w:rPr>
        <w:t>This transformation fundamentally shifts vocational governance from retrospective post-mortems to real-time preventive safeguards, ensuring that government subsidies are released exclusively for verified physical training hours.</w:t>
      </w:r>
    </w:p>
    <w:p>
      <w:pPr>
        <w:keepNext/>
        <w:spacing w:before="320" w:after="80"/>
      </w:pPr>
      <w:r>
        <w:rPr>
          <w:rFonts w:ascii="Calibri" w:hAnsi="Calibri"/>
          <w:b/>
          <w:color w:val="1B365D"/>
          <w:sz w:val="30"/>
        </w:rPr>
        <w:t>2. THE FOUR STRATEGIC GAPS SOLVED</w:t>
      </w:r>
    </w:p>
    <w:p>
      <w:pPr>
        <w:pStyle w:val="ListBullet"/>
        <w:spacing w:before="40" w:after="80" w:line="276" w:lineRule="auto"/>
      </w:pPr>
      <w:r>
        <w:rPr>
          <w:rFonts w:ascii="Calibri" w:hAnsi="Calibri"/>
          <w:b/>
          <w:color w:val="1B365D"/>
          <w:sz w:val="21"/>
        </w:rPr>
        <w:t>Gap 1 - Roster Inflation &amp; Ghost Enrollments:</w:t>
      </w:r>
      <w:r>
        <w:rPr>
          <w:rFonts w:ascii="Calibri" w:hAnsi="Calibri"/>
          <w:color w:val="1E293B"/>
          <w:sz w:val="21"/>
        </w:rPr>
        <w:t xml:space="preserve"> Training centres routinely report 100% batch capacity on paper, yet classrooms operate with 70% to 80% physical candidate deficits. Drishti-Skilling continuously measures actual physical attendance via local computer vision head-counting, cross-checking counts against active Skill India rosters every five minutes.</w:t>
      </w:r>
    </w:p>
    <w:p>
      <w:pPr>
        <w:pStyle w:val="ListBullet"/>
        <w:spacing w:before="40" w:after="80" w:line="276" w:lineRule="auto"/>
      </w:pPr>
      <w:r>
        <w:rPr>
          <w:rFonts w:ascii="Calibri" w:hAnsi="Calibri"/>
          <w:b/>
          <w:color w:val="1B365D"/>
          <w:sz w:val="21"/>
        </w:rPr>
        <w:t>Gap 2 - Transient Equipment Rental Arbitrage:</w:t>
      </w:r>
      <w:r>
        <w:rPr>
          <w:rFonts w:ascii="Calibri" w:hAnsi="Calibri"/>
          <w:color w:val="1E293B"/>
          <w:sz w:val="21"/>
        </w:rPr>
        <w:t xml:space="preserve"> Expensive industrial tools (lathes, welding booths, test rigs) are rented for 24 hours to secure accreditation and removed immediately afterward. Drishti-Skilling executes spatial zoning audits that continuously verify mandatory trade machinery is physically present, installed, and operating during practical lab hours.</w:t>
      </w:r>
    </w:p>
    <w:p>
      <w:pPr>
        <w:pStyle w:val="ListBullet"/>
        <w:spacing w:before="40" w:after="80" w:line="276" w:lineRule="auto"/>
      </w:pPr>
      <w:r>
        <w:rPr>
          <w:rFonts w:ascii="Calibri" w:hAnsi="Calibri"/>
          <w:b/>
          <w:color w:val="1B365D"/>
          <w:sz w:val="21"/>
        </w:rPr>
        <w:t>Gap 3 - Biometric Failure in Industrial Trade Labs:</w:t>
      </w:r>
      <w:r>
        <w:rPr>
          <w:rFonts w:ascii="Calibri" w:hAnsi="Calibri"/>
          <w:color w:val="1E293B"/>
          <w:sz w:val="21"/>
        </w:rPr>
        <w:t xml:space="preserve"> Grease, machine oil, and trade flux cause standard fingerprint scanners to fail in practical workshops, while basic card punches allow 'punch-and-leave' evasion. Drishti-Skilling provides continuous non-intrusive spatial observation throughout scheduled hours without requiring physical touch or student interaction.</w:t>
      </w:r>
    </w:p>
    <w:p>
      <w:pPr>
        <w:pStyle w:val="ListBullet"/>
        <w:spacing w:before="40" w:after="80" w:line="276" w:lineRule="auto"/>
      </w:pPr>
      <w:r>
        <w:rPr>
          <w:rFonts w:ascii="Calibri" w:hAnsi="Calibri"/>
          <w:b/>
          <w:color w:val="1B365D"/>
          <w:sz w:val="21"/>
        </w:rPr>
        <w:t>Gap 4 - The Rural Video Streaming Impasse:</w:t>
      </w:r>
      <w:r>
        <w:rPr>
          <w:rFonts w:ascii="Calibri" w:hAnsi="Calibri"/>
          <w:color w:val="1E293B"/>
          <w:sz w:val="21"/>
        </w:rPr>
        <w:t xml:space="preserve"> Uploading continuous 1080p video consumes 486 GB per camera monthly, making cloud surveillance impossible over rural 2G/3G connections and costing ₹18+ Crores per month centrally. Drishti-Skilling compresses compliance data by 99.4%, pushing compact 2–5 KB JSON records that operate reliably for less than ₹80/month per centre.</w:t>
      </w:r>
    </w:p>
    <w:p>
      <w:pPr>
        <w:keepNext/>
        <w:spacing w:before="320" w:after="80"/>
      </w:pPr>
      <w:r>
        <w:rPr>
          <w:rFonts w:ascii="Calibri" w:hAnsi="Calibri"/>
          <w:b/>
          <w:color w:val="1B365D"/>
          <w:sz w:val="30"/>
        </w:rPr>
        <w:t>3. CORE ARCHITECTURAL DIFFERENTIATORS (The Technology Blueprint)</w:t>
      </w:r>
    </w:p>
    <w:p>
      <w:pPr>
        <w:spacing w:before="0" w:after="120" w:line="276" w:lineRule="auto"/>
      </w:pPr>
      <w:r>
        <w:rPr>
          <w:rFonts w:ascii="Calibri" w:hAnsi="Calibri"/>
          <w:color w:val="1E293B"/>
          <w:sz w:val="21"/>
        </w:rPr>
        <w:t>Drishti-Skilling achieves national scale, regulatory defensibility, and low cost through four tightly integrated technological pillars:</w:t>
      </w:r>
    </w:p>
    <w:p>
      <w:pPr>
        <w:keepNext/>
        <w:spacing w:before="200" w:after="60"/>
      </w:pPr>
      <w:r>
        <w:rPr>
          <w:rFonts w:ascii="Calibri" w:hAnsi="Calibri"/>
          <w:b/>
          <w:color w:val="007E8A"/>
          <w:sz w:val="24"/>
        </w:rPr>
        <w:t>Pillar A: Privacy-by-Design Engine (DPDP Act, 2023 Statutory Shield)</w:t>
      </w:r>
    </w:p>
    <w:p>
      <w:pPr>
        <w:spacing w:before="0" w:after="120" w:line="276" w:lineRule="auto"/>
      </w:pPr>
      <w:r>
        <w:rPr>
          <w:rFonts w:ascii="Calibri" w:hAnsi="Calibri"/>
          <w:color w:val="1E293B"/>
          <w:sz w:val="21"/>
        </w:rPr>
        <w:t>The platform is engineered to prevent the creation of a centralized facial surveillance repository. Video frames are captured directly into volatile random-access memory (RAM). Within 12–15 milliseconds, a MediaPipe BlazeFace neural network detects human faces and applies an irreversible Gaussian blur before any frame touches storage or passes to downstream models. Zero biometric templates, zero facial embeddings, and zero individual identities are ever extracted, stored, or transmitted—guaranteeing complete immunity under Section 4, 7, and 8 of the DPDP Act, 2023.</w:t>
      </w:r>
    </w:p>
    <w:p>
      <w:pPr>
        <w:keepNext/>
        <w:spacing w:before="200" w:after="60"/>
      </w:pPr>
      <w:r>
        <w:rPr>
          <w:rFonts w:ascii="Calibri" w:hAnsi="Calibri"/>
          <w:b/>
          <w:color w:val="007E8A"/>
          <w:sz w:val="24"/>
        </w:rPr>
        <w:t>Pillar B: Low-CapEx Edge Vision Inference (Sub-₹8,000 Hardware)</w:t>
      </w:r>
    </w:p>
    <w:p>
      <w:pPr>
        <w:spacing w:before="0" w:after="120" w:line="276" w:lineRule="auto"/>
      </w:pPr>
      <w:r>
        <w:rPr>
          <w:rFonts w:ascii="Calibri" w:hAnsi="Calibri"/>
          <w:color w:val="1E293B"/>
          <w:sz w:val="21"/>
        </w:rPr>
        <w:t>Rather than requiring proprietary industrial edge servers costing upwards of ₹60,000, the vision stack uses INT8-quantized YOLOv8-Nano models accelerated via OpenVINO and ONNX Runtime. The vision daemon achieves 25+ frames per second on consumer-grade quad-core x86 and Intel N100 mini-PCs drawing only 6W–15W TDP. This slashes edge hardware procurement costs by over 85%, making immediate nationwide deployment feasible across 15,000+ vocational institutes.</w:t>
      </w:r>
    </w:p>
    <w:p>
      <w:pPr>
        <w:keepNext/>
        <w:spacing w:before="200" w:after="60"/>
      </w:pPr>
      <w:r>
        <w:rPr>
          <w:rFonts w:ascii="Calibri" w:hAnsi="Calibri"/>
          <w:b/>
          <w:color w:val="007E8A"/>
          <w:sz w:val="24"/>
        </w:rPr>
        <w:t>Pillar C: Statistical Smoothing &amp; Anti-Tamper Security</w:t>
      </w:r>
    </w:p>
    <w:p>
      <w:pPr>
        <w:spacing w:before="0" w:after="120" w:line="276" w:lineRule="auto"/>
      </w:pPr>
      <w:r>
        <w:rPr>
          <w:rFonts w:ascii="Calibri" w:hAnsi="Calibri"/>
          <w:color w:val="1E293B"/>
          <w:sz w:val="21"/>
        </w:rPr>
        <w:t>Raw computer vision counts naturally fluctuate as students move around the lab, fetch tools, or take short water intervals. Drishti-Skilling incorporates a 5-minute temporal rolling average window (100 samples taken every 3 seconds) that suppresses transient noise and eliminates false alarms. Concurrently, the edge daemon monitors frame luminance histograms and edge density to detect lens occlusion, spray-painting, deliberate camera misorientation, or looped video injections, dispatching instant Tamper Alerts upon detection.</w:t>
      </w:r>
    </w:p>
    <w:p>
      <w:pPr>
        <w:keepNext/>
        <w:spacing w:before="200" w:after="60"/>
      </w:pPr>
      <w:r>
        <w:rPr>
          <w:rFonts w:ascii="Calibri" w:hAnsi="Calibri"/>
          <w:b/>
          <w:color w:val="007E8A"/>
          <w:sz w:val="24"/>
        </w:rPr>
        <w:t>Pillar D: Cryptographic Non-Repudiation &amp; Offline Store-and-Forward</w:t>
      </w:r>
    </w:p>
    <w:p>
      <w:pPr>
        <w:spacing w:before="0" w:after="120" w:line="276" w:lineRule="auto"/>
      </w:pPr>
      <w:r>
        <w:rPr>
          <w:rFonts w:ascii="Calibri" w:hAnsi="Calibri"/>
          <w:color w:val="1E293B"/>
          <w:sz w:val="21"/>
        </w:rPr>
        <w:t>Every telemetry record is signed with an edge-bound HMAC-SHA-256 private key provisioned in a local secure enclave, preventing man-in-the-middle manipulation. If rural cellular connectivity drops, telemetry packets are buffered locally in an encrypted on-device SQLite database for up to 72 hours, automatically resynchronizing once connection is restored to prevent timeline falsification.</w:t>
      </w:r>
    </w:p>
    <w:p>
      <w:pPr>
        <w:keepNext/>
        <w:spacing w:before="320" w:after="80"/>
      </w:pPr>
      <w:r>
        <w:rPr>
          <w:rFonts w:ascii="Calibri" w:hAnsi="Calibri"/>
          <w:b/>
          <w:color w:val="1B365D"/>
          <w:sz w:val="30"/>
        </w:rPr>
        <w:t>4. AUTOMATED GOVERNANCE &amp; FINANCIAL SAFING (The Enforcement Engine)</w:t>
      </w:r>
    </w:p>
    <w:p>
      <w:pPr>
        <w:spacing w:before="0" w:after="120" w:line="276" w:lineRule="auto"/>
      </w:pPr>
      <w:r>
        <w:rPr>
          <w:rFonts w:ascii="Calibri" w:hAnsi="Calibri"/>
          <w:color w:val="1E293B"/>
          <w:sz w:val="21"/>
        </w:rPr>
        <w:t>Unlike traditional systems that merely generate passive alert notifications, Drishti-Skilling directly connects operational telemetry with government financial disbursement mechanisms through an automated Three-Tier Triage Protocol:</w:t>
      </w:r>
    </w:p>
    <w:p>
      <w:pPr>
        <w:pStyle w:val="ListBullet"/>
        <w:spacing w:before="40" w:after="80" w:line="276" w:lineRule="auto"/>
      </w:pPr>
      <w:r>
        <w:rPr>
          <w:rFonts w:ascii="Calibri" w:hAnsi="Calibri"/>
          <w:b/>
          <w:color w:val="1B365D"/>
          <w:sz w:val="21"/>
        </w:rPr>
        <w:t>Level 1 - Automated Centre Query (Minor Discrepancy):</w:t>
      </w:r>
      <w:r>
        <w:rPr>
          <w:rFonts w:ascii="Calibri" w:hAnsi="Calibri"/>
          <w:color w:val="1E293B"/>
          <w:sz w:val="21"/>
        </w:rPr>
        <w:t xml:space="preserve"> Triggered when attendance fluctuates by 10%–25% or machines remain idle for under 30 minutes. An automated inquiry ticket is posted to the Centre Principal's dashboard, granting a 2-hour window to submit digital operational justification.</w:t>
      </w:r>
    </w:p>
    <w:p>
      <w:pPr>
        <w:pStyle w:val="ListBullet"/>
        <w:spacing w:before="40" w:after="80" w:line="276" w:lineRule="auto"/>
      </w:pPr>
      <w:r>
        <w:rPr>
          <w:rFonts w:ascii="Calibri" w:hAnsi="Calibri"/>
          <w:b/>
          <w:color w:val="1B365D"/>
          <w:sz w:val="21"/>
        </w:rPr>
        <w:t>Level 2 - State Nodal Escalation (Persistent Deficit):</w:t>
      </w:r>
      <w:r>
        <w:rPr>
          <w:rFonts w:ascii="Calibri" w:hAnsi="Calibri"/>
          <w:color w:val="1E293B"/>
          <w:sz w:val="21"/>
        </w:rPr>
        <w:t xml:space="preserve"> Triggered when attendance deficits exceed 35% across multiple monitoring intervals or equipment is absent for over 1 hour. The facility is flagged on the State Directorate GIS map with an automated Evidence Pack containing timestamped telemetry graphs and face-blurred photographic proofs. Milestone approvals are paused pending 24-hour formal rectification.</w:t>
      </w:r>
    </w:p>
    <w:p>
      <w:pPr>
        <w:pStyle w:val="ListBullet"/>
        <w:spacing w:before="40" w:after="80" w:line="276" w:lineRule="auto"/>
      </w:pPr>
      <w:r>
        <w:rPr>
          <w:rFonts w:ascii="Calibri" w:hAnsi="Calibri"/>
          <w:b/>
          <w:color w:val="1B365D"/>
          <w:sz w:val="21"/>
        </w:rPr>
        <w:t>Level 3 - Automated PFMS Escrow Lock &amp; Flying Squad Raid (Severe Fraud):</w:t>
      </w:r>
      <w:r>
        <w:rPr>
          <w:rFonts w:ascii="Calibri" w:hAnsi="Calibri"/>
          <w:color w:val="1E293B"/>
          <w:sz w:val="21"/>
        </w:rPr>
        <w:t xml:space="preserve"> Triggered by ghost batch conditions (e.g., 25 enrolled students claimed vs 0–3 physically detected for 3+ consecutive days), dismantled machinery, or continuous lens tampering. The system triggers an immediate programmatic webhook to the Public Financial Management System (PFMS), placing training partner subsidy releases and candidate Direct Benefit Transfer (DBT) stipends into an escrow hold. Concurrently, a high-priority inspection dossier with exact GPS coordinates is routed to state vigilance flying squads for targeted on-site raids.</w:t>
      </w:r>
    </w:p>
    <w:p>
      <w:pPr>
        <w:keepNext/>
        <w:spacing w:before="320" w:after="80"/>
      </w:pPr>
      <w:r>
        <w:rPr>
          <w:rFonts w:ascii="Calibri" w:hAnsi="Calibri"/>
          <w:b/>
          <w:color w:val="1B365D"/>
          <w:sz w:val="30"/>
        </w:rPr>
        <w:t>5. NATIONAL BUSINESS CASE &amp; FISCAL ROI</w:t>
      </w:r>
    </w:p>
    <w:p>
      <w:pPr>
        <w:spacing w:before="0" w:after="120" w:line="276" w:lineRule="auto"/>
      </w:pPr>
      <w:r>
        <w:rPr>
          <w:rFonts w:ascii="Calibri" w:hAnsi="Calibri"/>
          <w:color w:val="1E293B"/>
          <w:sz w:val="21"/>
        </w:rPr>
        <w:t>A comprehensive financial assessment illustrates the decisive return on investment delivered across 15,000 national training centres operating under PMKVY, DGT, and DDU-GKY:</w:t>
      </w:r>
    </w:p>
    <w:p>
      <w:pPr>
        <w:pStyle w:val="ListBullet"/>
        <w:spacing w:before="40" w:after="80" w:line="276" w:lineRule="auto"/>
      </w:pPr>
      <w:r>
        <w:rPr>
          <w:rFonts w:ascii="Calibri" w:hAnsi="Calibri"/>
          <w:b/>
          <w:color w:val="1B365D"/>
          <w:sz w:val="21"/>
        </w:rPr>
        <w:t>Preventing ₹400+ Crores in Annual Subsidy Leakages:</w:t>
      </w:r>
      <w:r>
        <w:rPr>
          <w:rFonts w:ascii="Calibri" w:hAnsi="Calibri"/>
          <w:color w:val="1E293B"/>
          <w:sz w:val="21"/>
        </w:rPr>
        <w:t xml:space="preserve"> Historical CAG audit findings indicate a 10% to 18% leakage rate in vocational subsidies resulting from ghost candidates and proxy facilities. On an annual budget allocation of ₹4,000 Crores, automated real-time PFMS escrow locks safeguard over ₹400 Crores annually from fraudulent claims.</w:t>
      </w:r>
    </w:p>
    <w:p>
      <w:pPr>
        <w:pStyle w:val="ListBullet"/>
        <w:spacing w:before="40" w:after="80" w:line="276" w:lineRule="auto"/>
      </w:pPr>
      <w:r>
        <w:rPr>
          <w:rFonts w:ascii="Calibri" w:hAnsi="Calibri"/>
          <w:b/>
          <w:color w:val="1B365D"/>
          <w:sz w:val="21"/>
        </w:rPr>
        <w:t>95% Telemetry Operating Cost Reduction:</w:t>
      </w:r>
      <w:r>
        <w:rPr>
          <w:rFonts w:ascii="Calibri" w:hAnsi="Calibri"/>
          <w:color w:val="1E293B"/>
          <w:sz w:val="21"/>
        </w:rPr>
        <w:t xml:space="preserve"> By transmitting 2–5 KB JSON payloads rather than 486 GB video feeds, cellular data requirements drop by 99.4%. Operating costs fall from ₹1,800–₹2,500/month per centre for broadband lines to under ₹80/month using standard IoT cellular SIMs.</w:t>
      </w:r>
    </w:p>
    <w:p>
      <w:pPr>
        <w:pStyle w:val="ListBullet"/>
        <w:spacing w:before="40" w:after="80" w:line="276" w:lineRule="auto"/>
      </w:pPr>
      <w:r>
        <w:rPr>
          <w:rFonts w:ascii="Calibri" w:hAnsi="Calibri"/>
          <w:b/>
          <w:color w:val="1B365D"/>
          <w:sz w:val="21"/>
        </w:rPr>
        <w:t>75% Cut in Physical Inspection Travel Expenses:</w:t>
      </w:r>
      <w:r>
        <w:rPr>
          <w:rFonts w:ascii="Calibri" w:hAnsi="Calibri"/>
          <w:color w:val="1E293B"/>
          <w:sz w:val="21"/>
        </w:rPr>
        <w:t xml:space="preserve"> Eliminates untargeted, blind physical vigilance tours by directing state flying squads exclusively to AI-flagged high-risk discrepancy hotspots.</w:t>
      </w:r>
    </w:p>
    <w:p>
      <w:pPr>
        <w:pStyle w:val="ListBullet"/>
        <w:spacing w:before="40" w:after="80" w:line="276" w:lineRule="auto"/>
      </w:pPr>
      <w:r>
        <w:rPr>
          <w:rFonts w:ascii="Calibri" w:hAnsi="Calibri"/>
          <w:b/>
          <w:color w:val="1B365D"/>
          <w:sz w:val="21"/>
        </w:rPr>
        <w:t>Two-Week Capital Amortization:</w:t>
      </w:r>
      <w:r>
        <w:rPr>
          <w:rFonts w:ascii="Calibri" w:hAnsi="Calibri"/>
          <w:color w:val="1E293B"/>
          <w:sz w:val="21"/>
        </w:rPr>
        <w:t xml:space="preserve"> Outfitting 15,000 national centres with sub-₹8,000 edge hardware represents a one-time capital investment of ₹12 Crores. By halting nationwide ghost subsidy leakage, the entire system pays for itself within less than two weeks of operational deployment.</w:t>
      </w:r>
    </w:p>
    <w:p>
      <w:pPr>
        <w:keepNext/>
        <w:spacing w:before="320" w:after="80"/>
      </w:pPr>
      <w:r>
        <w:rPr>
          <w:rFonts w:ascii="Calibri" w:hAnsi="Calibri"/>
          <w:b/>
          <w:color w:val="1B365D"/>
          <w:sz w:val="30"/>
        </w:rPr>
        <w:t>6. IMPLEMENTATION ROADMAP &amp; ZERO-DISRUPTION ROLLOUT</w:t>
      </w:r>
    </w:p>
    <w:p>
      <w:pPr>
        <w:spacing w:before="0" w:after="120" w:line="276" w:lineRule="auto"/>
      </w:pPr>
      <w:r>
        <w:rPr>
          <w:rFonts w:ascii="Calibri" w:hAnsi="Calibri"/>
          <w:color w:val="1E293B"/>
          <w:sz w:val="21"/>
        </w:rPr>
        <w:t>Drishti-Skilling requires zero replacement of existing facility infrastructure. The platform interfaces with all standard RTSP, ONVIF, and USB cameras already mounted in training centres. Deployment follows a structured four-phase trajectory:</w:t>
      </w:r>
    </w:p>
    <w:p>
      <w:pPr>
        <w:pStyle w:val="ListBullet"/>
        <w:spacing w:before="40" w:after="80" w:line="276" w:lineRule="auto"/>
      </w:pPr>
      <w:r>
        <w:rPr>
          <w:rFonts w:ascii="Calibri" w:hAnsi="Calibri"/>
          <w:b/>
          <w:color w:val="1B365D"/>
          <w:sz w:val="21"/>
        </w:rPr>
        <w:t>Phase 1 - Pilot Calibration (Months 1–3):</w:t>
      </w:r>
      <w:r>
        <w:rPr>
          <w:rFonts w:ascii="Calibri" w:hAnsi="Calibri"/>
          <w:color w:val="1E293B"/>
          <w:sz w:val="21"/>
        </w:rPr>
        <w:t xml:space="preserve"> Deployment across 50 representative centres (25 urban ITIs and 25 rural PMKVY centres) across 2 states to calibrate vision weights across diverse lighting conditions and validate 2G store-and-forward resilience.</w:t>
      </w:r>
    </w:p>
    <w:p>
      <w:pPr>
        <w:pStyle w:val="ListBullet"/>
        <w:spacing w:before="40" w:after="80" w:line="276" w:lineRule="auto"/>
      </w:pPr>
      <w:r>
        <w:rPr>
          <w:rFonts w:ascii="Calibri" w:hAnsi="Calibri"/>
          <w:b/>
          <w:color w:val="1B365D"/>
          <w:sz w:val="21"/>
        </w:rPr>
        <w:t>Phase 2 - Statewide Integration &amp; DPI Linking (Months 4–7):</w:t>
      </w:r>
      <w:r>
        <w:rPr>
          <w:rFonts w:ascii="Calibri" w:hAnsi="Calibri"/>
          <w:color w:val="1E293B"/>
          <w:sz w:val="21"/>
        </w:rPr>
        <w:t xml:space="preserve"> Expansion to 1,000 centres across 5 industrial states, completing programmatic API integration with the Skill India Digital Hub (SIDH) and PFMS.</w:t>
      </w:r>
    </w:p>
    <w:p>
      <w:pPr>
        <w:pStyle w:val="ListBullet"/>
        <w:spacing w:before="40" w:after="80" w:line="276" w:lineRule="auto"/>
      </w:pPr>
      <w:r>
        <w:rPr>
          <w:rFonts w:ascii="Calibri" w:hAnsi="Calibri"/>
          <w:b/>
          <w:color w:val="1B365D"/>
          <w:sz w:val="21"/>
        </w:rPr>
        <w:t>Phase 3 - Pan-India Scale (Months 8–12):</w:t>
      </w:r>
      <w:r>
        <w:rPr>
          <w:rFonts w:ascii="Calibri" w:hAnsi="Calibri"/>
          <w:color w:val="1E293B"/>
          <w:sz w:val="21"/>
        </w:rPr>
        <w:t xml:space="preserve"> Full nationwide rollout across all 15,000 accredited vocational institutions, supported by regional provisioning and remote containerized maintenance.</w:t>
      </w:r>
    </w:p>
    <w:p>
      <w:pPr>
        <w:pStyle w:val="ListBullet"/>
        <w:spacing w:before="40" w:after="80" w:line="276" w:lineRule="auto"/>
      </w:pPr>
      <w:r>
        <w:rPr>
          <w:rFonts w:ascii="Calibri" w:hAnsi="Calibri"/>
          <w:b/>
          <w:color w:val="1B365D"/>
          <w:sz w:val="21"/>
        </w:rPr>
        <w:t>Phase 4 - Inter-Ministerial Expansion (Year 2+):</w:t>
      </w:r>
      <w:r>
        <w:rPr>
          <w:rFonts w:ascii="Calibri" w:hAnsi="Calibri"/>
          <w:color w:val="1E293B"/>
          <w:sz w:val="21"/>
        </w:rPr>
        <w:t xml:space="preserve"> Extending vision telemetry to state polytechnic labs, factory apprenticeship floors under NAPS, and digital accreditation renewals under NCVET.</w:t>
      </w:r>
    </w:p>
    <w:p>
      <w:pPr>
        <w:pStyle w:val="ListBullet"/>
        <w:spacing w:before="40" w:after="80" w:line="276" w:lineRule="auto"/>
      </w:pPr>
      <w:r>
        <w:rPr>
          <w:rFonts w:ascii="Calibri" w:hAnsi="Calibri"/>
          <w:b/>
          <w:color w:val="1B365D"/>
          <w:sz w:val="21"/>
        </w:rPr>
        <w:t>Zero-Touch Maintenance via Containerized OTA Updates:</w:t>
      </w:r>
      <w:r>
        <w:rPr>
          <w:rFonts w:ascii="Calibri" w:hAnsi="Calibri"/>
          <w:color w:val="1E293B"/>
          <w:sz w:val="21"/>
        </w:rPr>
        <w:t xml:space="preserve"> All on-device software operates within lightweight Docker containers (&lt;1.2 GB). When new vocational trades (e.g., Drone Maintenance, Green Hydrogen, Solar PV) are introduced, updated quantized neural network weights are delivered automatically via encrypted delta OTA updates (&lt;15 MB download).</w:t>
      </w:r>
    </w:p>
    <w:p>
      <w:pPr>
        <w:keepNext/>
        <w:spacing w:before="320" w:after="80"/>
      </w:pPr>
      <w:r>
        <w:rPr>
          <w:rFonts w:ascii="Calibri" w:hAnsi="Calibri"/>
          <w:b/>
          <w:color w:val="1B365D"/>
          <w:sz w:val="30"/>
        </w:rPr>
        <w:t>7. STRATEGIC CONCLUSION: The Evaluator's Bottom Line</w:t>
      </w:r>
    </w:p>
    <w:p>
      <w:pPr>
        <w:spacing w:before="0" w:after="120" w:line="276" w:lineRule="auto"/>
      </w:pPr>
      <w:r>
        <w:rPr>
          <w:rFonts w:ascii="Calibri" w:hAnsi="Calibri"/>
          <w:color w:val="1E293B"/>
          <w:sz w:val="21"/>
        </w:rPr>
        <w:t>Drishti-Skilling is not a theoretical concept; it is an active, production-verified system deployed and demonstrated at https://drishti-skilling.vercel.app/. It bridges the critical divide between central government funding and on-the-ground physical execution.</w:t>
      </w:r>
    </w:p>
    <w:p>
      <w:pPr>
        <w:spacing w:before="0" w:after="120" w:line="276" w:lineRule="auto"/>
      </w:pPr>
      <w:r>
        <w:rPr>
          <w:rFonts w:ascii="Calibri" w:hAnsi="Calibri"/>
          <w:color w:val="1E293B"/>
          <w:sz w:val="21"/>
        </w:rPr>
        <w:t>By fusing ultra-low-cost edge computing, statutory DPDP Act 2023 compliance, rural-resilient telemetry, dual-factor human-and-machine auditing, and real-time PFMS financial safeguards, Drishti-Skilling transforms national vocational monitoring from an ineffective, retroactive paperwork inspection into a proactive, tamper-proof compliance shield.</w:t>
      </w:r>
    </w:p>
    <w:p>
      <w:pPr>
        <w:spacing w:before="0" w:after="120" w:line="276" w:lineRule="auto"/>
      </w:pPr>
      <w:r>
        <w:rPr>
          <w:rFonts w:ascii="Calibri" w:hAnsi="Calibri"/>
          <w:color w:val="1E293B"/>
          <w:sz w:val="21"/>
        </w:rPr>
        <w:t>The platform guarantees that every single rupee of public funding translates directly into genuine physical training, certified machine hours, and employable trade skills for the youth of India.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0"/>
        <w:sz w:val="18"/>
      </w:rPr>
      <w:t>Drishti-Skilling | Executive Abstract &amp; Strategic Summary | SIH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