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40" w:lineRule="auto"/>
        <w:jc w:val="center"/>
      </w:pPr>
      <w:r>
        <w:rPr>
          <w:rFonts w:ascii="Times New Roman" w:hAnsi="Times New Roman" w:eastAsia="Times New Roman"/>
          <w:b/>
          <w:i w:val="0"/>
          <w:sz w:val="32"/>
        </w:rPr>
        <w:t>Pemodelan Konsumsi Bahan Bakar Kendaraan Menggunakan Regresi Polinomial Bertingkat dengan Seleksi Fitur Berbasis Korelasi</w:t>
      </w:r>
    </w:p>
    <w:p>
      <w:pPr>
        <w:spacing w:after="160" w:before="0" w:line="240" w:lineRule="auto"/>
        <w:jc w:val="center"/>
      </w:pPr>
      <w:r>
        <w:rPr>
          <w:rFonts w:ascii="Times New Roman" w:hAnsi="Times New Roman" w:eastAsia="Times New Roman"/>
          <w:b w:val="0"/>
          <w:i/>
          <w:sz w:val="24"/>
        </w:rPr>
        <w:t>Modeling Vehicle Fuel Consumption Using Sequential Polynomial Regression with Correlation-Based Feature Selection</w:t>
      </w:r>
    </w:p>
    <w:p>
      <w:pPr>
        <w:spacing w:after="40" w:line="240" w:lineRule="auto"/>
        <w:jc w:val="center"/>
      </w:pPr>
      <w:r>
        <w:rPr>
          <w:rFonts w:ascii="Times New Roman" w:hAnsi="Times New Roman" w:eastAsia="Times New Roman"/>
          <w:b w:val="0"/>
          <w:i w:val="0"/>
          <w:sz w:val="20"/>
        </w:rPr>
        <w:t>Amadeus Eugene Dirgantara</w:t>
      </w:r>
      <w:r>
        <w:rPr>
          <w:rFonts w:ascii="Times New Roman" w:hAnsi="Times New Roman" w:eastAsia="Times New Roman"/>
          <w:b w:val="0"/>
          <w:i w:val="0"/>
          <w:sz w:val="20"/>
        </w:rPr>
        <w:t>1</w:t>
      </w:r>
      <w:r>
        <w:rPr>
          <w:rFonts w:ascii="Times New Roman" w:hAnsi="Times New Roman" w:eastAsia="Times New Roman"/>
          <w:b w:val="0"/>
          <w:i w:val="0"/>
          <w:sz w:val="20"/>
        </w:rPr>
        <w:t>, Rei Putra Soemanto</w:t>
      </w:r>
      <w:r>
        <w:rPr>
          <w:rFonts w:ascii="Times New Roman" w:hAnsi="Times New Roman" w:eastAsia="Times New Roman"/>
          <w:b w:val="0"/>
          <w:i w:val="0"/>
          <w:sz w:val="20"/>
        </w:rPr>
        <w:t>2</w:t>
      </w:r>
      <w:r>
        <w:rPr>
          <w:rFonts w:ascii="Times New Roman" w:hAnsi="Times New Roman" w:eastAsia="Times New Roman"/>
          <w:b w:val="0"/>
          <w:i w:val="0"/>
          <w:sz w:val="20"/>
        </w:rPr>
        <w:t>, Jason Tio</w:t>
      </w:r>
      <w:r>
        <w:rPr>
          <w:rFonts w:ascii="Times New Roman" w:hAnsi="Times New Roman" w:eastAsia="Times New Roman"/>
          <w:b w:val="0"/>
          <w:i w:val="0"/>
          <w:sz w:val="20"/>
        </w:rPr>
        <w:t>3</w:t>
      </w:r>
      <w:r>
        <w:rPr>
          <w:rFonts w:ascii="Times New Roman" w:hAnsi="Times New Roman" w:eastAsia="Times New Roman"/>
          <w:b w:val="0"/>
          <w:i w:val="0"/>
          <w:sz w:val="20"/>
        </w:rPr>
        <w:t>, Christopher Andreas, S.Stat., M.Stat.</w:t>
      </w:r>
      <w:r>
        <w:rPr>
          <w:rFonts w:ascii="Times New Roman" w:hAnsi="Times New Roman" w:eastAsia="Times New Roman"/>
          <w:b w:val="0"/>
          <w:i w:val="0"/>
          <w:sz w:val="20"/>
        </w:rPr>
        <w:t>4</w:t>
      </w:r>
    </w:p>
    <w:p>
      <w:pPr>
        <w:spacing w:after="40" w:before="0" w:line="240" w:lineRule="auto"/>
        <w:jc w:val="center"/>
      </w:pPr>
      <w:r>
        <w:rPr>
          <w:rFonts w:ascii="Times New Roman" w:hAnsi="Times New Roman" w:eastAsia="Times New Roman"/>
          <w:b w:val="0"/>
          <w:i w:val="0"/>
          <w:sz w:val="18"/>
        </w:rPr>
        <w:t>1,2,3,4 Program Studi Informatika, Universitas Ciputra, Surabaya, Jawa Timur, Indonesia</w:t>
      </w:r>
    </w:p>
    <w:p>
      <w:pPr>
        <w:spacing w:after="160" w:before="0" w:line="240" w:lineRule="auto"/>
        <w:jc w:val="center"/>
      </w:pPr>
      <w:r>
        <w:rPr>
          <w:rFonts w:ascii="Times New Roman" w:hAnsi="Times New Roman" w:eastAsia="Times New Roman"/>
          <w:b w:val="0"/>
          <w:i w:val="0"/>
          <w:sz w:val="18"/>
        </w:rPr>
        <w:t>*Email penulis korespondensi: christopher.andreas@ciputra.ac.id</w:t>
      </w:r>
    </w:p>
    <w:p>
      <w:pPr>
        <w:spacing w:after="80" w:line="240" w:lineRule="auto"/>
        <w:jc w:val="both"/>
      </w:pPr>
      <w:r>
        <w:rPr>
          <w:rFonts w:ascii="Times New Roman" w:hAnsi="Times New Roman" w:eastAsia="Times New Roman"/>
          <w:b/>
          <w:i w:val="0"/>
          <w:sz w:val="20"/>
        </w:rPr>
        <w:t xml:space="preserve">Abstrak: </w:t>
      </w:r>
      <w:r>
        <w:rPr>
          <w:rFonts w:ascii="Times New Roman" w:hAnsi="Times New Roman" w:eastAsia="Times New Roman"/>
          <w:b w:val="0"/>
          <w:i w:val="0"/>
          <w:sz w:val="20"/>
        </w:rPr>
        <w:t>Pemilihan bentuk fungsional yang tepat merupakan tahap krusial dalam analisis regresi. Regresi linear sering diterapkan sebagai pilihan default, padahal intuisi rekayasa menunjukkan bahwa hubungan antara ukuran mesin dan konsumsi bahan bakar bersifat nonlinier akibat menurunnya efisiensi pembakaran pada kapasitas mesin yang lebih besar. Penelitian ini memodelkan konsumsi bahan bakar gabungan kendaraan (L/100 km) menggunakan dataset Fuel Consumption 2000–2022 (22.555 baris setelah pembersihan). Kerangka kerja keputusan bertingkat diterapkan: Tahap 1 melakukan seleksi fitur berbasis korelasi Pearson dan Spearman, Tahap 2 dan 3 menjalankan Nested F-Test untuk menentukan orde polinomial terendah yang memadai, dan Tahap 4 memvalidasi asumsi Ordinary Least Squares (OLS). Seleksi fitur menyisakan satu prediktor, yaitu ukuran mesin, karena jumlah silinder hampir kolinier (r ≈ 0,91) dan tahun model nyaris tidak berkorelasi dengan respon. Kedua Nested F-Test menolak hipotesis nol secara meyakinkan sehingga model kubik terpilih sebagai model final. Model menjelaskan sekitar 66% variansi konsumsi bahan bakar (R² uji ≈ 0,658) dengan RMSE ≈ 1,73 L/100 km dan tanpa indikasi overfitting. Uji normalitas dan homoskedastisitas ditolak secara formal, namun hal ini merupakan konsekuensi wajar dari ukuran sampel besar dan tidak membatalkan estimasi titik koefisien. Temuan ini menegaskan adanya pola diminishing returns pada hubungan ukuran mesin dengan konsumsi bahan bakar.</w:t>
      </w:r>
    </w:p>
    <w:p>
      <w:pPr>
        <w:spacing w:after="120" w:line="240" w:lineRule="auto"/>
        <w:jc w:val="both"/>
      </w:pPr>
      <w:r>
        <w:rPr>
          <w:rFonts w:ascii="Times New Roman" w:hAnsi="Times New Roman" w:eastAsia="Times New Roman"/>
          <w:b/>
          <w:i w:val="0"/>
          <w:sz w:val="20"/>
        </w:rPr>
        <w:t xml:space="preserve">Kata Kunci: </w:t>
      </w:r>
      <w:r>
        <w:rPr>
          <w:rFonts w:ascii="Times New Roman" w:hAnsi="Times New Roman" w:eastAsia="Times New Roman"/>
          <w:b w:val="0"/>
          <w:i w:val="0"/>
          <w:sz w:val="20"/>
        </w:rPr>
        <w:t>regresi polinomial, Nested F-Test, seleksi fitur, konsumsi bahan bakar, multikolinieritas, validasi asumsi OLS.</w:t>
      </w:r>
    </w:p>
    <w:p>
      <w:pPr>
        <w:spacing w:after="80" w:line="240" w:lineRule="auto"/>
        <w:jc w:val="both"/>
      </w:pPr>
      <w:r>
        <w:rPr>
          <w:rFonts w:ascii="Times New Roman" w:hAnsi="Times New Roman" w:eastAsia="Times New Roman"/>
          <w:b/>
          <w:i/>
          <w:sz w:val="20"/>
        </w:rPr>
        <w:t xml:space="preserve">Abstract: </w:t>
      </w:r>
      <w:r>
        <w:rPr>
          <w:rFonts w:ascii="Times New Roman" w:hAnsi="Times New Roman" w:eastAsia="Times New Roman"/>
          <w:b w:val="0"/>
          <w:i/>
          <w:sz w:val="20"/>
        </w:rPr>
        <w:t>Selecting the correct functional form is a crucial step in regression analysis. Linear regression is often applied by default, even though engineering intuition suggests that the relationship between engine size and fuel consumption is nonlinear due to declining combustion efficiency at larger displacements. This study models the combined fuel consumption of vehicles (L/100 km) using the Fuel Consumption 2000–2022 dataset (22,555 rows after cleaning). A sequential decision framework is applied: Stage 1 performs correlation-based feature selection using Pearson and Spearman coefficients, Stages 2 and 3 run Nested F-Tests to determine the lowest adequate polynomial order, and Stage 4 validates the Ordinary Least Squares (OLS) assumptions. Feature selection retains a single predictor, engine size, because cylinder count is nearly collinear (r ≈ 0.91) and model year is virtually uncorrelated with the response. Both Nested F-Tests reject the null hypothesis convincingly, so the cubic model is selected as the final model. The model explains about 66% of fuel-consumption variance (test R² ≈ 0.658) with an RMSE ≈ 1.73 L/100 km and no sign of overfitting. Normality and homoscedasticity tests are formally rejected, but this is an expected consequence of the large sample size and does not invalidate the coefficient point estimates. The findings confirm a diminishing-returns pattern in the engine-size–fuel-consumption relationship.</w:t>
      </w:r>
    </w:p>
    <w:p>
      <w:pPr>
        <w:spacing w:after="160" w:line="240" w:lineRule="auto"/>
        <w:jc w:val="both"/>
      </w:pPr>
      <w:r>
        <w:rPr>
          <w:rFonts w:ascii="Times New Roman" w:hAnsi="Times New Roman" w:eastAsia="Times New Roman"/>
          <w:b/>
          <w:i/>
          <w:sz w:val="20"/>
        </w:rPr>
        <w:t xml:space="preserve">Keywords: </w:t>
      </w:r>
      <w:r>
        <w:rPr>
          <w:rFonts w:ascii="Times New Roman" w:hAnsi="Times New Roman" w:eastAsia="Times New Roman"/>
          <w:b w:val="0"/>
          <w:i/>
          <w:sz w:val="20"/>
        </w:rPr>
        <w:t>polynomial regression, Nested F-Test, feature selection, fuel consumption, multicollinearity, OLS assumption validation.</w:t>
      </w:r>
    </w:p>
    <w:p>
      <w:pPr>
        <w:spacing w:before="200" w:after="80"/>
        <w:jc w:val="left"/>
      </w:pPr>
      <w:r>
        <w:rPr>
          <w:rFonts w:ascii="Times New Roman" w:hAnsi="Times New Roman" w:eastAsia="Times New Roman"/>
          <w:b/>
          <w:i w:val="0"/>
          <w:sz w:val="20"/>
        </w:rPr>
        <w:t>1. Pendahuluan</w:t>
      </w:r>
    </w:p>
    <w:p>
      <w:pPr>
        <w:spacing w:after="120" w:before="0" w:line="240" w:lineRule="auto"/>
        <w:ind w:firstLine="432"/>
        <w:jc w:val="both"/>
      </w:pPr>
      <w:r>
        <w:rPr>
          <w:rFonts w:ascii="Times New Roman" w:hAnsi="Times New Roman" w:eastAsia="Times New Roman"/>
          <w:b w:val="0"/>
          <w:i w:val="0"/>
          <w:sz w:val="20"/>
        </w:rPr>
        <w:t>Konsumsi bahan bakar kendaraan merupakan indikator penting yang berkaitan langsung dengan biaya operasional, emisi gas rumah kaca, dan kebijakan keberlanjutan transportasi. Kemampuan memprediksi konsumsi bahan bakar dari karakteristik teknis kendaraan memiliki nilai praktis bagi perencanaan armada, perbandingan biaya konsumen, deteksi anomali pada data spesifikasi, hingga pelaporan keberlanjutan. Oleh karena itu, pemodelan statistik yang tepat terhadap hubungan antara karakteristik kendaraan dan konsumsi bahan bakar menjadi kebutuhan yang relevan.</w:t>
      </w:r>
    </w:p>
    <w:p>
      <w:pPr>
        <w:spacing w:after="120" w:before="0" w:line="240" w:lineRule="auto"/>
        <w:ind w:firstLine="432"/>
        <w:jc w:val="both"/>
      </w:pPr>
      <w:r>
        <w:rPr>
          <w:rFonts w:ascii="Times New Roman" w:hAnsi="Times New Roman" w:eastAsia="Times New Roman"/>
          <w:b w:val="0"/>
          <w:i w:val="0"/>
          <w:sz w:val="20"/>
        </w:rPr>
        <w:t>Dalam praktik, regresi linear kerap dipilih sebagai model default karena kesederhanaan dan kemudahan interpretasinya. Namun, intuisi fisik menyatakan bahwa hubungan antara ukuran mesin dan konsumsi bahan bakar tidak selalu linear. Pada kapasitas mesin yang semakin besar, efisiensi pembakaran cenderung menurun sehingga tambahan konsumsi per satuan kenaikan ukuran mesin mengecil. Pola ini dikenal sebagai diminishing returns dan secara matematis menghasilkan kurva yang melengkung (konkaf). Model yang dispesifikasikan secara keliru berisiko mengalami underfitting, yaitu melewatkan kelengkungan nyata dalam data, atau overfitting, yaitu memperkenalkan suku berorde tinggi yang sebenarnya palsu.</w:t>
      </w:r>
    </w:p>
    <w:p>
      <w:pPr>
        <w:spacing w:after="120" w:before="0" w:line="240" w:lineRule="auto"/>
        <w:ind w:firstLine="432"/>
        <w:jc w:val="both"/>
      </w:pPr>
      <w:r>
        <w:rPr>
          <w:rFonts w:ascii="Times New Roman" w:hAnsi="Times New Roman" w:eastAsia="Times New Roman"/>
          <w:b w:val="0"/>
          <w:i w:val="0"/>
          <w:sz w:val="20"/>
        </w:rPr>
        <w:t>Tantangan kedua adalah pemilihan prediktor. Beberapa karakteristik kendaraan saling berkorelasi tinggi, misalnya ukuran mesin dan jumlah silinder. Memasukkan prediktor yang hampir kolinier ke dalam satu model akan menyebabkan multikolinieritas, yang membuat standard error membengkak dan estimasi koefisien menjadi tidak stabil. Dengan demikian, seleksi fitur yang disiplin perlu dilakukan sebelum pemodelan.</w:t>
      </w:r>
    </w:p>
    <w:p>
      <w:pPr>
        <w:spacing w:after="120" w:line="240" w:lineRule="auto"/>
        <w:ind w:firstLine="432"/>
        <w:jc w:val="both"/>
      </w:pPr>
      <w:r>
        <w:rPr>
          <w:rFonts w:ascii="Times New Roman" w:hAnsi="Times New Roman" w:eastAsia="Times New Roman"/>
          <w:b w:val="0"/>
          <w:i w:val="0"/>
          <w:sz w:val="20"/>
        </w:rPr>
        <w:t xml:space="preserve">Penelitian ini bertujuan menjawab tiga pertanyaan penelitian yang saling berkaitan. </w:t>
      </w:r>
      <w:r>
        <w:rPr>
          <w:rFonts w:ascii="Times New Roman" w:hAnsi="Times New Roman" w:eastAsia="Times New Roman"/>
          <w:b/>
          <w:i w:val="0"/>
          <w:sz w:val="20"/>
        </w:rPr>
        <w:t>Pertama</w:t>
      </w:r>
      <w:r>
        <w:rPr>
          <w:rFonts w:ascii="Times New Roman" w:hAnsi="Times New Roman" w:eastAsia="Times New Roman"/>
          <w:b w:val="0"/>
          <w:i w:val="0"/>
          <w:sz w:val="20"/>
        </w:rPr>
        <w:t xml:space="preserve">, fitur kendaraan kontinu mana yang sebaiknya dipertahankan sebagai prediktor. </w:t>
      </w:r>
      <w:r>
        <w:rPr>
          <w:rFonts w:ascii="Times New Roman" w:hAnsi="Times New Roman" w:eastAsia="Times New Roman"/>
          <w:b/>
          <w:i w:val="0"/>
          <w:sz w:val="20"/>
        </w:rPr>
        <w:t>Kedua</w:t>
      </w:r>
      <w:r>
        <w:rPr>
          <w:rFonts w:ascii="Times New Roman" w:hAnsi="Times New Roman" w:eastAsia="Times New Roman"/>
          <w:b w:val="0"/>
          <w:i w:val="0"/>
          <w:sz w:val="20"/>
        </w:rPr>
        <w:t xml:space="preserve">, berapakah polinomial berorde terendah yang secara memadai memodelkan hubungan tersebut dengan konsumsi bahan bakar gabungan. </w:t>
      </w:r>
      <w:r>
        <w:rPr>
          <w:rFonts w:ascii="Times New Roman" w:hAnsi="Times New Roman" w:eastAsia="Times New Roman"/>
          <w:b/>
          <w:i w:val="0"/>
          <w:sz w:val="20"/>
        </w:rPr>
        <w:t>Ketiga</w:t>
      </w:r>
      <w:r>
        <w:rPr>
          <w:rFonts w:ascii="Times New Roman" w:hAnsi="Times New Roman" w:eastAsia="Times New Roman"/>
          <w:b w:val="0"/>
          <w:i w:val="0"/>
          <w:sz w:val="20"/>
        </w:rPr>
        <w:t>, apakah model yang dihasilkan memenuhi asumsi regresi Ordinary Least Squares (OLS). Untuk menjawabnya, penelitian ini menerapkan kerangka keputusan bertingkat yang menggabungkan seleksi fitur berbasis korelasi, pengujian hipotesis bersarang (Nested F-Test) untuk menentukan orde polinomial, serta validasi asumsi secara formal dan visual.</w:t>
      </w:r>
    </w:p>
    <w:p>
      <w:pPr>
        <w:spacing w:before="200" w:after="80"/>
        <w:jc w:val="left"/>
      </w:pPr>
      <w:r>
        <w:rPr>
          <w:rFonts w:ascii="Times New Roman" w:hAnsi="Times New Roman" w:eastAsia="Times New Roman"/>
          <w:b/>
          <w:i w:val="0"/>
          <w:sz w:val="20"/>
        </w:rPr>
        <w:t>2. Kajian Pustaka</w:t>
      </w:r>
    </w:p>
    <w:p>
      <w:pPr>
        <w:spacing w:before="120" w:after="60"/>
      </w:pPr>
      <w:r>
        <w:rPr>
          <w:rFonts w:ascii="Times New Roman" w:hAnsi="Times New Roman" w:eastAsia="Times New Roman"/>
          <w:b/>
          <w:i/>
          <w:sz w:val="20"/>
        </w:rPr>
        <w:t>2.1 Regresi Linear dan Polinomial</w:t>
      </w:r>
    </w:p>
    <w:p>
      <w:pPr>
        <w:spacing w:after="120" w:before="0" w:line="240" w:lineRule="auto"/>
        <w:ind w:firstLine="432"/>
        <w:jc w:val="both"/>
      </w:pPr>
      <w:r>
        <w:rPr>
          <w:rFonts w:ascii="Times New Roman" w:hAnsi="Times New Roman" w:eastAsia="Times New Roman"/>
          <w:b w:val="0"/>
          <w:i w:val="0"/>
          <w:sz w:val="20"/>
        </w:rPr>
        <w:t>Regresi linear berganda memodelkan respon y sebagai kombinasi linear dari prediktor. Ketika hubungan antara prediktor dan respon melengkung namun tetap monotonik, regresi polinomial menjadi perluasan yang wajar. Regresi polinomial tetap linear pada parameternya sehingga dapat diestimasi dengan OLS, namun mampu menangkap kelengkungan melalui penambahan suku berpangkat, seperti x² dan x³. Model polinomial orde-p untuk satu prediktor dituliskan sebagai y = β₀ + β₁x + β₂x² + … + βₚxᵖ + ε.</w:t>
      </w:r>
    </w:p>
    <w:p>
      <w:pPr>
        <w:spacing w:before="120" w:after="60"/>
      </w:pPr>
      <w:r>
        <w:rPr>
          <w:rFonts w:ascii="Times New Roman" w:hAnsi="Times New Roman" w:eastAsia="Times New Roman"/>
          <w:b/>
          <w:i/>
          <w:sz w:val="20"/>
        </w:rPr>
        <w:t>2.2 Korelasi Pearson dan Spearman</w:t>
      </w:r>
    </w:p>
    <w:p>
      <w:pPr>
        <w:spacing w:after="120" w:before="0" w:line="240" w:lineRule="auto"/>
        <w:ind w:firstLine="432"/>
        <w:jc w:val="both"/>
      </w:pPr>
      <w:r>
        <w:rPr>
          <w:rFonts w:ascii="Times New Roman" w:hAnsi="Times New Roman" w:eastAsia="Times New Roman"/>
          <w:b w:val="0"/>
          <w:i w:val="0"/>
          <w:sz w:val="20"/>
        </w:rPr>
        <w:t>Koefisien korelasi Pearson mengukur kekuatan asosiasi linear antara dua variabel, sedangkan koefisien korelasi Spearman mengukur asosiasi monotonik tanpa mengasumsikan bentuk hubungan. Perbandingan keduanya bersifat informatif: apabila Spearman secara nyata lebih tinggi daripada Pearson pada pasangan prediktor–respon, kesenjangan tersebut menjadi indikasi bahwa hubungannya monotonik tetapi tidak linear. Kondisi inilah yang tepat ditangani oleh perluasan polinomial.</w:t>
      </w:r>
    </w:p>
    <w:p>
      <w:pPr>
        <w:spacing w:before="120" w:after="60"/>
      </w:pPr>
      <w:r>
        <w:rPr>
          <w:rFonts w:ascii="Times New Roman" w:hAnsi="Times New Roman" w:eastAsia="Times New Roman"/>
          <w:b/>
          <w:i/>
          <w:sz w:val="20"/>
        </w:rPr>
        <w:t>2.3 Multikolinieritas</w:t>
      </w:r>
    </w:p>
    <w:p>
      <w:pPr>
        <w:spacing w:after="120" w:before="0" w:line="240" w:lineRule="auto"/>
        <w:ind w:firstLine="432"/>
        <w:jc w:val="both"/>
      </w:pPr>
      <w:r>
        <w:rPr>
          <w:rFonts w:ascii="Times New Roman" w:hAnsi="Times New Roman" w:eastAsia="Times New Roman"/>
          <w:b w:val="0"/>
          <w:i w:val="0"/>
          <w:sz w:val="20"/>
        </w:rPr>
        <w:t>Multikolinieritas terjadi ketika dua atau lebih prediktor saling berkorelasi sangat tinggi. Konsekuensinya, matriks desain mendekati singular sehingga estimasi koefisien menjadi sensitif terhadap perubahan kecil pada data dan standard error membesar. Salah satu strategi penanganannya adalah mempertahankan prediktor yang lebih kuat berkaitan dengan respon dan membuang pasangannya yang lebih lemah.</w:t>
      </w:r>
    </w:p>
    <w:p>
      <w:pPr>
        <w:spacing w:before="120" w:after="60"/>
      </w:pPr>
      <w:r>
        <w:rPr>
          <w:rFonts w:ascii="Times New Roman" w:hAnsi="Times New Roman" w:eastAsia="Times New Roman"/>
          <w:b/>
          <w:i/>
          <w:sz w:val="20"/>
        </w:rPr>
        <w:t>2.4 Nested F-Test dan Validasi Asumsi OLS</w:t>
      </w:r>
    </w:p>
    <w:p>
      <w:pPr>
        <w:spacing w:after="120" w:before="0" w:line="240" w:lineRule="auto"/>
        <w:ind w:firstLine="432"/>
        <w:jc w:val="both"/>
      </w:pPr>
      <w:r>
        <w:rPr>
          <w:rFonts w:ascii="Times New Roman" w:hAnsi="Times New Roman" w:eastAsia="Times New Roman"/>
          <w:b w:val="0"/>
          <w:i w:val="0"/>
          <w:sz w:val="20"/>
        </w:rPr>
        <w:t>Nested F-Test membandingkan dua model bersarang, yaitu model yang lebih sederhana dan perluasannya yang menambah satu atau beberapa suku. Uji ini menilai apakah pengurangan jumlah kuadrat residu (Residual Sum of Squares, RSS) akibat penambahan suku cukup besar untuk membenarkan parameter tambahan. Inferensi OLS bertumpu pada beberapa asumsi, terutama normalitas residu dan homoskedastisitas (ragam residu konstan). Normalitas dapat diuji dengan Anderson-Darling test, sedangkan homoskedastisitas dengan Breusch-Pagan test, keduanya dilengkapi diagnostik visual berupa Q-Q plot dan plot residuals vs fitted.</w:t>
      </w:r>
    </w:p>
    <w:p>
      <w:pPr>
        <w:spacing w:before="200" w:after="80"/>
        <w:jc w:val="left"/>
      </w:pPr>
      <w:r>
        <w:rPr>
          <w:rFonts w:ascii="Times New Roman" w:hAnsi="Times New Roman" w:eastAsia="Times New Roman"/>
          <w:b/>
          <w:i w:val="0"/>
          <w:sz w:val="20"/>
        </w:rPr>
        <w:t>3. Metode</w:t>
      </w:r>
    </w:p>
    <w:p>
      <w:pPr>
        <w:spacing w:before="120" w:after="60"/>
      </w:pPr>
      <w:r>
        <w:rPr>
          <w:rFonts w:ascii="Times New Roman" w:hAnsi="Times New Roman" w:eastAsia="Times New Roman"/>
          <w:b/>
          <w:i/>
          <w:sz w:val="20"/>
        </w:rPr>
        <w:t>3.1 Dataset dan Variabel</w:t>
      </w:r>
    </w:p>
    <w:p>
      <w:pPr>
        <w:spacing w:after="120" w:before="0" w:line="240" w:lineRule="auto"/>
        <w:ind w:firstLine="432"/>
        <w:jc w:val="both"/>
      </w:pPr>
      <w:r>
        <w:rPr>
          <w:rFonts w:ascii="Times New Roman" w:hAnsi="Times New Roman" w:eastAsia="Times New Roman"/>
          <w:b w:val="0"/>
          <w:i w:val="0"/>
          <w:sz w:val="20"/>
        </w:rPr>
        <w:t>Penelitian ini menggunakan dataset publik Fuel Consumption 2000–2022 yang memuat 22.556 baris dan 13 kolom spesifikasi kendaraan. Variabel respon adalah konsumsi bahan bakar gabungan comb_l_100km (diambil dari kolom COMB (L/100 km)). Tiga kandidat prediktor kontinu dipertimbangkan, yaitu ukuran mesin (engine_size, dalam liter), jumlah silinder (cylinders), dan tahun model (year).</w:t>
      </w:r>
    </w:p>
    <w:p>
      <w:pPr>
        <w:spacing w:after="120" w:before="0" w:line="240" w:lineRule="auto"/>
        <w:ind w:firstLine="432"/>
        <w:jc w:val="both"/>
      </w:pPr>
      <w:r>
        <w:rPr>
          <w:rFonts w:ascii="Times New Roman" w:hAnsi="Times New Roman" w:eastAsia="Times New Roman"/>
          <w:b w:val="0"/>
          <w:i w:val="0"/>
          <w:sz w:val="20"/>
        </w:rPr>
        <w:t>Sebuah iterasi awal sempat mengekstrak jumlah gigi dari kode transmisi sebagai kandidat prediktor keempat. Pendekatan tersebut ditinggalkan karena dua alasan. Pertama, korelasi marginalnya dengan respon mendekati nol. Kedua, ekstraksi memaksa pembuangan baris kendaraan bertransmisi CVT, sehingga membiaskan sampel. Mempertahankan seluruh baris dan menghapus fitur tersebut menghasilkan dataset yang tidak bias terhadap tipe transmisi.</w:t>
      </w:r>
    </w:p>
    <w:p>
      <w:pPr>
        <w:spacing w:before="120" w:after="60"/>
      </w:pPr>
      <w:r>
        <w:rPr>
          <w:rFonts w:ascii="Times New Roman" w:hAnsi="Times New Roman" w:eastAsia="Times New Roman"/>
          <w:b/>
          <w:i/>
          <w:sz w:val="20"/>
        </w:rPr>
        <w:t>3.2 Persiapan Data</w:t>
      </w:r>
    </w:p>
    <w:p>
      <w:pPr>
        <w:spacing w:after="120" w:before="0" w:line="240" w:lineRule="auto"/>
        <w:ind w:firstLine="432"/>
        <w:jc w:val="both"/>
      </w:pPr>
      <w:r>
        <w:rPr>
          <w:rFonts w:ascii="Times New Roman" w:hAnsi="Times New Roman" w:eastAsia="Times New Roman"/>
          <w:b w:val="0"/>
          <w:i w:val="0"/>
          <w:sz w:val="20"/>
        </w:rPr>
        <w:t>Data mentah diperiksa untuk nilai yang hilang dan tidak ditemukan satu pun nilai kosong pada seluruh kolom, sehingga tidak diperlukan imputasi maupun penghapusan baris berbasis missing value. Selanjutnya, duplikat persis dihapus karena produsen kerap mengirimkan banyak konfigurasi trim yang identik dan dataset mencatat tiap trim sebagai baris tersendiri. Sebanyak satu baris duplikat dihapus sehingga tersisa 22.555 baris sebagai ukuran sampel efektif.</w:t>
      </w:r>
    </w:p>
    <w:p>
      <w:pPr>
        <w:spacing w:before="120" w:after="60"/>
      </w:pPr>
      <w:r>
        <w:rPr>
          <w:rFonts w:ascii="Times New Roman" w:hAnsi="Times New Roman" w:eastAsia="Times New Roman"/>
          <w:b/>
          <w:i/>
          <w:sz w:val="20"/>
        </w:rPr>
        <w:t>3.3 Kerangka Keputusan Bertingkat</w:t>
      </w:r>
    </w:p>
    <w:p>
      <w:pPr>
        <w:spacing w:after="60" w:before="0" w:line="240" w:lineRule="auto"/>
        <w:jc w:val="both"/>
      </w:pPr>
      <w:r>
        <w:rPr>
          <w:rFonts w:ascii="Times New Roman" w:hAnsi="Times New Roman" w:eastAsia="Times New Roman"/>
          <w:b w:val="0"/>
          <w:i w:val="0"/>
          <w:sz w:val="20"/>
        </w:rPr>
        <w:t>Analisis dilakukan dalam empat tahap berurutan:</w:t>
      </w:r>
    </w:p>
    <w:p>
      <w:pPr>
        <w:spacing w:after="60" w:line="240" w:lineRule="auto"/>
        <w:ind w:firstLine="432"/>
        <w:jc w:val="both"/>
      </w:pPr>
      <w:r>
        <w:rPr>
          <w:rFonts w:ascii="Times New Roman" w:hAnsi="Times New Roman" w:eastAsia="Times New Roman"/>
          <w:b/>
          <w:i w:val="0"/>
          <w:sz w:val="20"/>
        </w:rPr>
        <w:t>Tahap 1 — Seleksi fitur.</w:t>
      </w:r>
      <w:r>
        <w:rPr>
          <w:rFonts w:ascii="Times New Roman" w:hAnsi="Times New Roman" w:eastAsia="Times New Roman"/>
          <w:b w:val="0"/>
          <w:i w:val="0"/>
          <w:sz w:val="20"/>
        </w:rPr>
        <w:t xml:space="preserve"> Buang prediktor yang korelasi marginalnya lemah terhadap respon (|ρ| &lt; 0,20 pada Pearson maupun Spearman) atau yang hampir kolinier dengan prediktor lain yang lebih kuat (|r| &gt; 0,85).</w:t>
      </w:r>
    </w:p>
    <w:p>
      <w:pPr>
        <w:spacing w:after="60" w:line="240" w:lineRule="auto"/>
        <w:ind w:firstLine="432"/>
        <w:jc w:val="both"/>
      </w:pPr>
      <w:r>
        <w:rPr>
          <w:rFonts w:ascii="Times New Roman" w:hAnsi="Times New Roman" w:eastAsia="Times New Roman"/>
          <w:b/>
          <w:i w:val="0"/>
          <w:sz w:val="20"/>
        </w:rPr>
        <w:t>Tahap 2 — Uji suku kuadratik.</w:t>
      </w:r>
      <w:r>
        <w:rPr>
          <w:rFonts w:ascii="Times New Roman" w:hAnsi="Times New Roman" w:eastAsia="Times New Roman"/>
          <w:b w:val="0"/>
          <w:i w:val="0"/>
          <w:sz w:val="20"/>
        </w:rPr>
        <w:t xml:space="preserve"> Nested F-Test membandingkan model linear (M₁) dengan model kuadratik (M₂). H₀: β₂ = 0.</w:t>
      </w:r>
    </w:p>
    <w:p>
      <w:pPr>
        <w:spacing w:after="60" w:line="240" w:lineRule="auto"/>
        <w:ind w:firstLine="432"/>
        <w:jc w:val="both"/>
      </w:pPr>
      <w:r>
        <w:rPr>
          <w:rFonts w:ascii="Times New Roman" w:hAnsi="Times New Roman" w:eastAsia="Times New Roman"/>
          <w:b/>
          <w:i w:val="0"/>
          <w:sz w:val="20"/>
        </w:rPr>
        <w:t>Tahap 3 — Uji suku kubik.</w:t>
      </w:r>
      <w:r>
        <w:rPr>
          <w:rFonts w:ascii="Times New Roman" w:hAnsi="Times New Roman" w:eastAsia="Times New Roman"/>
          <w:b w:val="0"/>
          <w:i w:val="0"/>
          <w:sz w:val="20"/>
        </w:rPr>
        <w:t xml:space="preserve"> Dijalankan hanya bila H₀ Tahap 2 ditolak. Nested F-Test membandingkan M₂ dengan model kubik (M₃). H₀: β₃ = 0.</w:t>
      </w:r>
    </w:p>
    <w:p>
      <w:pPr>
        <w:spacing w:after="60" w:line="240" w:lineRule="auto"/>
        <w:ind w:firstLine="432"/>
        <w:jc w:val="both"/>
      </w:pPr>
      <w:r>
        <w:rPr>
          <w:rFonts w:ascii="Times New Roman" w:hAnsi="Times New Roman" w:eastAsia="Times New Roman"/>
          <w:b/>
          <w:i w:val="0"/>
          <w:sz w:val="20"/>
        </w:rPr>
        <w:t>Tahap 4 — Validasi asumsi.</w:t>
      </w:r>
      <w:r>
        <w:rPr>
          <w:rFonts w:ascii="Times New Roman" w:hAnsi="Times New Roman" w:eastAsia="Times New Roman"/>
          <w:b w:val="0"/>
          <w:i w:val="0"/>
          <w:sz w:val="20"/>
        </w:rPr>
        <w:t xml:space="preserve"> Anderson-Darling test untuk normalitas residu dan Breusch-Pagan test untuk homoskedastisitas, dilengkapi Q-Q plot serta plot residuals vs fitted.</w:t>
      </w:r>
    </w:p>
    <w:p>
      <w:pPr>
        <w:spacing w:after="60" w:before="0" w:line="240" w:lineRule="auto"/>
        <w:jc w:val="both"/>
      </w:pPr>
      <w:r>
        <w:rPr>
          <w:rFonts w:ascii="Times New Roman" w:hAnsi="Times New Roman" w:eastAsia="Times New Roman"/>
          <w:b w:val="0"/>
          <w:i w:val="0"/>
          <w:sz w:val="20"/>
        </w:rPr>
        <w:t>Kandidat model didefinisikan sebagai berikut, dengan x menyatakan ukuran mesin:</w:t>
      </w:r>
    </w:p>
    <w:p>
      <w:pPr>
        <w:spacing w:after="40" w:before="0" w:line="240" w:lineRule="auto"/>
        <w:jc w:val="center"/>
      </w:pPr>
      <w:r>
        <w:rPr>
          <w:rFonts w:ascii="Times New Roman" w:hAnsi="Times New Roman" w:eastAsia="Times New Roman"/>
          <w:b w:val="0"/>
          <w:i w:val="0"/>
          <w:sz w:val="20"/>
        </w:rPr>
        <w:t>M₁ (linear):    y = β₀ + β₁x + ε</w:t>
      </w:r>
    </w:p>
    <w:p>
      <w:pPr>
        <w:spacing w:after="40" w:before="0" w:line="240" w:lineRule="auto"/>
        <w:jc w:val="center"/>
      </w:pPr>
      <w:r>
        <w:rPr>
          <w:rFonts w:ascii="Times New Roman" w:hAnsi="Times New Roman" w:eastAsia="Times New Roman"/>
          <w:b w:val="0"/>
          <w:i w:val="0"/>
          <w:sz w:val="20"/>
        </w:rPr>
        <w:t>M₂ (kuadratik): y = β₀ + β₁x + β₂x² + ε</w:t>
      </w:r>
    </w:p>
    <w:p>
      <w:pPr>
        <w:spacing w:after="120" w:before="0" w:line="240" w:lineRule="auto"/>
        <w:jc w:val="center"/>
      </w:pPr>
      <w:r>
        <w:rPr>
          <w:rFonts w:ascii="Times New Roman" w:hAnsi="Times New Roman" w:eastAsia="Times New Roman"/>
          <w:b w:val="0"/>
          <w:i w:val="0"/>
          <w:sz w:val="20"/>
        </w:rPr>
        <w:t>M₃ (kubik):     y = β₀ + β₁x + β₂x² + β₃x³ + ε</w:t>
      </w:r>
    </w:p>
    <w:p>
      <w:pPr>
        <w:spacing w:before="120" w:after="60"/>
      </w:pPr>
      <w:r>
        <w:rPr>
          <w:rFonts w:ascii="Times New Roman" w:hAnsi="Times New Roman" w:eastAsia="Times New Roman"/>
          <w:b/>
          <w:i/>
          <w:sz w:val="20"/>
        </w:rPr>
        <w:t>3.4 Estimasi dan Evaluasi</w:t>
      </w:r>
    </w:p>
    <w:p>
      <w:pPr>
        <w:spacing w:after="120" w:before="0" w:line="240" w:lineRule="auto"/>
        <w:ind w:firstLine="432"/>
        <w:jc w:val="both"/>
      </w:pPr>
      <w:r>
        <w:rPr>
          <w:rFonts w:ascii="Times New Roman" w:hAnsi="Times New Roman" w:eastAsia="Times New Roman"/>
          <w:b w:val="0"/>
          <w:i w:val="0"/>
          <w:sz w:val="20"/>
        </w:rPr>
        <w:t>Data dibagi menjadi subset pelatihan dan uji dengan rasio 80/20 (18.044 baris pelatihan dan 4.511 baris uji). Subset pelatihan digunakan untuk fitting model dan Nested F-Test, sedangkan subset uji ditahan untuk menilai generalisasi. Ketiga model diestimasi dengan OLS. Kualitas model dibandingkan melalui R², Adjusted R², AIC, BIC, dan RSS, sedangkan akurasi generalisasi diukur dengan R², RMSE, dan MAE pada subset uji. Seluruh komputasi dilakukan dengan pustaka Python (pandas, statsmodels, scikit-learn) menggunakan seed acak tetap demi reproduktibilitas.</w:t>
      </w:r>
    </w:p>
    <w:p>
      <w:pPr>
        <w:spacing w:before="200" w:after="80"/>
        <w:jc w:val="left"/>
      </w:pPr>
      <w:r>
        <w:rPr>
          <w:rFonts w:ascii="Times New Roman" w:hAnsi="Times New Roman" w:eastAsia="Times New Roman"/>
          <w:b/>
          <w:i w:val="0"/>
          <w:sz w:val="20"/>
        </w:rPr>
        <w:t>4. Hasil dan Pembahasan</w:t>
      </w:r>
    </w:p>
    <w:p>
      <w:pPr>
        <w:spacing w:before="120" w:after="60"/>
      </w:pPr>
      <w:r>
        <w:rPr>
          <w:rFonts w:ascii="Times New Roman" w:hAnsi="Times New Roman" w:eastAsia="Times New Roman"/>
          <w:b/>
          <w:i/>
          <w:sz w:val="20"/>
        </w:rPr>
        <w:t>4.1 Statistik Deskriptif</w:t>
      </w:r>
    </w:p>
    <w:p>
      <w:pPr>
        <w:spacing w:after="120" w:before="0" w:line="240" w:lineRule="auto"/>
        <w:ind w:firstLine="432"/>
        <w:jc w:val="both"/>
      </w:pPr>
      <w:r>
        <w:rPr>
          <w:rFonts w:ascii="Times New Roman" w:hAnsi="Times New Roman" w:eastAsia="Times New Roman"/>
          <w:b w:val="0"/>
          <w:i w:val="0"/>
          <w:sz w:val="20"/>
        </w:rPr>
        <w:t>Tabel 1 menyajikan statistik deskriptif variabel respon dan kandidat prediktor. Ukuran mesin berkisar 0,8–8,4 L dengan median 3,0 L, jumlah silinder terkonsentrasi pada konfigurasi 4/6/8, dan tahun model tersebar cukup merata pada rentang 2000–2022. Respon comb_l_100km memiliki skewness kanan dengan mayoritas kendaraan pada rentang 8–14 L/100 km dan ekor tipis melampaui 20 L/100 km.</w:t>
      </w:r>
    </w:p>
    <w:p>
      <w:pPr>
        <w:spacing w:before="160" w:after="60"/>
        <w:jc w:val="left"/>
      </w:pPr>
      <w:r>
        <w:rPr>
          <w:rFonts w:ascii="Times New Roman" w:hAnsi="Times New Roman" w:eastAsia="Times New Roman"/>
          <w:b w:val="0"/>
          <w:i w:val="0"/>
          <w:sz w:val="20"/>
        </w:rPr>
        <w:t>Tabel 1. Statistik deskriptif variabel (n = 22.555)</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left w:val="none" w:sz="0" w:space="0" w:color="auto"/>
          <w:right w:val="none" w:sz="0" w:space="0" w:color="auto"/>
          <w:insideV w:val="none" w:sz="0" w:space="0" w:color="auto"/>
        </w:tblBorders>
      </w:tblPr>
      <w:tblGrid>
        <w:gridCol w:w="1170"/>
        <w:gridCol w:w="1170"/>
        <w:gridCol w:w="1170"/>
        <w:gridCol w:w="1170"/>
        <w:gridCol w:w="1170"/>
        <w:gridCol w:w="1170"/>
        <w:gridCol w:w="1170"/>
        <w:gridCol w:w="1170"/>
      </w:tblGrid>
      <w:tr>
        <w:tc>
          <w:tcPr>
            <w:tcW w:type="dxa" w:w="2160"/>
          </w:tcPr>
          <w:p>
            <w:pPr>
              <w:spacing w:after="40" w:before="40"/>
              <w:jc w:val="center"/>
            </w:pPr>
            <w:r/>
            <w:r>
              <w:rPr>
                <w:rFonts w:ascii="Times New Roman" w:hAnsi="Times New Roman" w:eastAsia="Times New Roman"/>
                <w:b/>
                <w:i w:val="0"/>
                <w:sz w:val="18"/>
              </w:rPr>
              <w:t>Variabel</w:t>
            </w:r>
          </w:p>
        </w:tc>
        <w:tc>
          <w:tcPr>
            <w:tcW w:type="dxa" w:w="1008"/>
          </w:tcPr>
          <w:p>
            <w:pPr>
              <w:spacing w:after="40" w:before="40"/>
              <w:jc w:val="center"/>
            </w:pPr>
            <w:r/>
            <w:r>
              <w:rPr>
                <w:rFonts w:ascii="Times New Roman" w:hAnsi="Times New Roman" w:eastAsia="Times New Roman"/>
                <w:b/>
                <w:i w:val="0"/>
                <w:sz w:val="18"/>
              </w:rPr>
              <w:t>Mean</w:t>
            </w:r>
          </w:p>
        </w:tc>
        <w:tc>
          <w:tcPr>
            <w:tcW w:type="dxa" w:w="1008"/>
          </w:tcPr>
          <w:p>
            <w:pPr>
              <w:spacing w:after="40" w:before="40"/>
              <w:jc w:val="center"/>
            </w:pPr>
            <w:r/>
            <w:r>
              <w:rPr>
                <w:rFonts w:ascii="Times New Roman" w:hAnsi="Times New Roman" w:eastAsia="Times New Roman"/>
                <w:b/>
                <w:i w:val="0"/>
                <w:sz w:val="18"/>
              </w:rPr>
              <w:t>Std</w:t>
            </w:r>
          </w:p>
        </w:tc>
        <w:tc>
          <w:tcPr>
            <w:tcW w:type="dxa" w:w="864"/>
          </w:tcPr>
          <w:p>
            <w:pPr>
              <w:spacing w:after="40" w:before="40"/>
              <w:jc w:val="center"/>
            </w:pPr>
            <w:r/>
            <w:r>
              <w:rPr>
                <w:rFonts w:ascii="Times New Roman" w:hAnsi="Times New Roman" w:eastAsia="Times New Roman"/>
                <w:b/>
                <w:i w:val="0"/>
                <w:sz w:val="18"/>
              </w:rPr>
              <w:t>Min</w:t>
            </w:r>
          </w:p>
        </w:tc>
        <w:tc>
          <w:tcPr>
            <w:tcW w:type="dxa" w:w="864"/>
          </w:tcPr>
          <w:p>
            <w:pPr>
              <w:spacing w:after="40" w:before="40"/>
              <w:jc w:val="center"/>
            </w:pPr>
            <w:r/>
            <w:r>
              <w:rPr>
                <w:rFonts w:ascii="Times New Roman" w:hAnsi="Times New Roman" w:eastAsia="Times New Roman"/>
                <w:b/>
                <w:i w:val="0"/>
                <w:sz w:val="18"/>
              </w:rPr>
              <w:t>Q1</w:t>
            </w:r>
          </w:p>
        </w:tc>
        <w:tc>
          <w:tcPr>
            <w:tcW w:type="dxa" w:w="1080"/>
          </w:tcPr>
          <w:p>
            <w:pPr>
              <w:spacing w:after="40" w:before="40"/>
              <w:jc w:val="center"/>
            </w:pPr>
            <w:r/>
            <w:r>
              <w:rPr>
                <w:rFonts w:ascii="Times New Roman" w:hAnsi="Times New Roman" w:eastAsia="Times New Roman"/>
                <w:b/>
                <w:i w:val="0"/>
                <w:sz w:val="18"/>
              </w:rPr>
              <w:t>Median</w:t>
            </w:r>
          </w:p>
        </w:tc>
        <w:tc>
          <w:tcPr>
            <w:tcW w:type="dxa" w:w="864"/>
          </w:tcPr>
          <w:p>
            <w:pPr>
              <w:spacing w:after="40" w:before="40"/>
              <w:jc w:val="center"/>
            </w:pPr>
            <w:r/>
            <w:r>
              <w:rPr>
                <w:rFonts w:ascii="Times New Roman" w:hAnsi="Times New Roman" w:eastAsia="Times New Roman"/>
                <w:b/>
                <w:i w:val="0"/>
                <w:sz w:val="18"/>
              </w:rPr>
              <w:t>Q3</w:t>
            </w:r>
          </w:p>
        </w:tc>
        <w:tc>
          <w:tcPr>
            <w:tcW w:type="dxa" w:w="864"/>
          </w:tcPr>
          <w:p>
            <w:pPr>
              <w:spacing w:after="40" w:before="40"/>
              <w:jc w:val="center"/>
            </w:pPr>
            <w:r/>
            <w:r>
              <w:rPr>
                <w:rFonts w:ascii="Times New Roman" w:hAnsi="Times New Roman" w:eastAsia="Times New Roman"/>
                <w:b/>
                <w:i w:val="0"/>
                <w:sz w:val="18"/>
              </w:rPr>
              <w:t>Max</w:t>
            </w:r>
          </w:p>
        </w:tc>
      </w:tr>
      <w:tr>
        <w:tc>
          <w:tcPr>
            <w:tcW w:type="dxa" w:w="2160"/>
          </w:tcPr>
          <w:p>
            <w:pPr>
              <w:spacing w:after="40" w:before="40"/>
              <w:jc w:val="center"/>
            </w:pPr>
            <w:r/>
            <w:r>
              <w:rPr>
                <w:rFonts w:ascii="Times New Roman" w:hAnsi="Times New Roman" w:eastAsia="Times New Roman"/>
                <w:b w:val="0"/>
                <w:i w:val="0"/>
                <w:sz w:val="18"/>
              </w:rPr>
              <w:t>engine_size (L)</w:t>
            </w:r>
          </w:p>
        </w:tc>
        <w:tc>
          <w:tcPr>
            <w:tcW w:type="dxa" w:w="1008"/>
          </w:tcPr>
          <w:p>
            <w:pPr>
              <w:spacing w:after="40" w:before="40"/>
              <w:jc w:val="center"/>
            </w:pPr>
            <w:r/>
            <w:r>
              <w:rPr>
                <w:rFonts w:ascii="Times New Roman" w:hAnsi="Times New Roman" w:eastAsia="Times New Roman"/>
                <w:b w:val="0"/>
                <w:i w:val="0"/>
                <w:sz w:val="18"/>
              </w:rPr>
              <w:t>3,357</w:t>
            </w:r>
          </w:p>
        </w:tc>
        <w:tc>
          <w:tcPr>
            <w:tcW w:type="dxa" w:w="1008"/>
          </w:tcPr>
          <w:p>
            <w:pPr>
              <w:spacing w:after="40" w:before="40"/>
              <w:jc w:val="center"/>
            </w:pPr>
            <w:r/>
            <w:r>
              <w:rPr>
                <w:rFonts w:ascii="Times New Roman" w:hAnsi="Times New Roman" w:eastAsia="Times New Roman"/>
                <w:b w:val="0"/>
                <w:i w:val="0"/>
                <w:sz w:val="18"/>
              </w:rPr>
              <w:t>1,335</w:t>
            </w:r>
          </w:p>
        </w:tc>
        <w:tc>
          <w:tcPr>
            <w:tcW w:type="dxa" w:w="864"/>
          </w:tcPr>
          <w:p>
            <w:pPr>
              <w:spacing w:after="40" w:before="40"/>
              <w:jc w:val="center"/>
            </w:pPr>
            <w:r/>
            <w:r>
              <w:rPr>
                <w:rFonts w:ascii="Times New Roman" w:hAnsi="Times New Roman" w:eastAsia="Times New Roman"/>
                <w:b w:val="0"/>
                <w:i w:val="0"/>
                <w:sz w:val="18"/>
              </w:rPr>
              <w:t>0,8</w:t>
            </w:r>
          </w:p>
        </w:tc>
        <w:tc>
          <w:tcPr>
            <w:tcW w:type="dxa" w:w="864"/>
          </w:tcPr>
          <w:p>
            <w:pPr>
              <w:spacing w:after="40" w:before="40"/>
              <w:jc w:val="center"/>
            </w:pPr>
            <w:r/>
            <w:r>
              <w:rPr>
                <w:rFonts w:ascii="Times New Roman" w:hAnsi="Times New Roman" w:eastAsia="Times New Roman"/>
                <w:b w:val="0"/>
                <w:i w:val="0"/>
                <w:sz w:val="18"/>
              </w:rPr>
              <w:t>2,3</w:t>
            </w:r>
          </w:p>
        </w:tc>
        <w:tc>
          <w:tcPr>
            <w:tcW w:type="dxa" w:w="1080"/>
          </w:tcPr>
          <w:p>
            <w:pPr>
              <w:spacing w:after="40" w:before="40"/>
              <w:jc w:val="center"/>
            </w:pPr>
            <w:r/>
            <w:r>
              <w:rPr>
                <w:rFonts w:ascii="Times New Roman" w:hAnsi="Times New Roman" w:eastAsia="Times New Roman"/>
                <w:b w:val="0"/>
                <w:i w:val="0"/>
                <w:sz w:val="18"/>
              </w:rPr>
              <w:t>3,0</w:t>
            </w:r>
          </w:p>
        </w:tc>
        <w:tc>
          <w:tcPr>
            <w:tcW w:type="dxa" w:w="864"/>
          </w:tcPr>
          <w:p>
            <w:pPr>
              <w:spacing w:after="40" w:before="40"/>
              <w:jc w:val="center"/>
            </w:pPr>
            <w:r/>
            <w:r>
              <w:rPr>
                <w:rFonts w:ascii="Times New Roman" w:hAnsi="Times New Roman" w:eastAsia="Times New Roman"/>
                <w:b w:val="0"/>
                <w:i w:val="0"/>
                <w:sz w:val="18"/>
              </w:rPr>
              <w:t>4,2</w:t>
            </w:r>
          </w:p>
        </w:tc>
        <w:tc>
          <w:tcPr>
            <w:tcW w:type="dxa" w:w="864"/>
          </w:tcPr>
          <w:p>
            <w:pPr>
              <w:spacing w:after="40" w:before="40"/>
              <w:jc w:val="center"/>
            </w:pPr>
            <w:r/>
            <w:r>
              <w:rPr>
                <w:rFonts w:ascii="Times New Roman" w:hAnsi="Times New Roman" w:eastAsia="Times New Roman"/>
                <w:b w:val="0"/>
                <w:i w:val="0"/>
                <w:sz w:val="18"/>
              </w:rPr>
              <w:t>8,4</w:t>
            </w:r>
          </w:p>
        </w:tc>
      </w:tr>
      <w:tr>
        <w:tc>
          <w:tcPr>
            <w:tcW w:type="dxa" w:w="2160"/>
          </w:tcPr>
          <w:p>
            <w:pPr>
              <w:spacing w:after="40" w:before="40"/>
              <w:jc w:val="center"/>
            </w:pPr>
            <w:r/>
            <w:r>
              <w:rPr>
                <w:rFonts w:ascii="Times New Roman" w:hAnsi="Times New Roman" w:eastAsia="Times New Roman"/>
                <w:b w:val="0"/>
                <w:i w:val="0"/>
                <w:sz w:val="18"/>
              </w:rPr>
              <w:t>cylinders</w:t>
            </w:r>
          </w:p>
        </w:tc>
        <w:tc>
          <w:tcPr>
            <w:tcW w:type="dxa" w:w="1008"/>
          </w:tcPr>
          <w:p>
            <w:pPr>
              <w:spacing w:after="40" w:before="40"/>
              <w:jc w:val="center"/>
            </w:pPr>
            <w:r/>
            <w:r>
              <w:rPr>
                <w:rFonts w:ascii="Times New Roman" w:hAnsi="Times New Roman" w:eastAsia="Times New Roman"/>
                <w:b w:val="0"/>
                <w:i w:val="0"/>
                <w:sz w:val="18"/>
              </w:rPr>
              <w:t>5,854</w:t>
            </w:r>
          </w:p>
        </w:tc>
        <w:tc>
          <w:tcPr>
            <w:tcW w:type="dxa" w:w="1008"/>
          </w:tcPr>
          <w:p>
            <w:pPr>
              <w:spacing w:after="40" w:before="40"/>
              <w:jc w:val="center"/>
            </w:pPr>
            <w:r/>
            <w:r>
              <w:rPr>
                <w:rFonts w:ascii="Times New Roman" w:hAnsi="Times New Roman" w:eastAsia="Times New Roman"/>
                <w:b w:val="0"/>
                <w:i w:val="0"/>
                <w:sz w:val="18"/>
              </w:rPr>
              <w:t>1,820</w:t>
            </w:r>
          </w:p>
        </w:tc>
        <w:tc>
          <w:tcPr>
            <w:tcW w:type="dxa" w:w="864"/>
          </w:tcPr>
          <w:p>
            <w:pPr>
              <w:spacing w:after="40" w:before="40"/>
              <w:jc w:val="center"/>
            </w:pPr>
            <w:r/>
            <w:r>
              <w:rPr>
                <w:rFonts w:ascii="Times New Roman" w:hAnsi="Times New Roman" w:eastAsia="Times New Roman"/>
                <w:b w:val="0"/>
                <w:i w:val="0"/>
                <w:sz w:val="18"/>
              </w:rPr>
              <w:t>2</w:t>
            </w:r>
          </w:p>
        </w:tc>
        <w:tc>
          <w:tcPr>
            <w:tcW w:type="dxa" w:w="864"/>
          </w:tcPr>
          <w:p>
            <w:pPr>
              <w:spacing w:after="40" w:before="40"/>
              <w:jc w:val="center"/>
            </w:pPr>
            <w:r/>
            <w:r>
              <w:rPr>
                <w:rFonts w:ascii="Times New Roman" w:hAnsi="Times New Roman" w:eastAsia="Times New Roman"/>
                <w:b w:val="0"/>
                <w:i w:val="0"/>
                <w:sz w:val="18"/>
              </w:rPr>
              <w:t>4</w:t>
            </w:r>
          </w:p>
        </w:tc>
        <w:tc>
          <w:tcPr>
            <w:tcW w:type="dxa" w:w="1080"/>
          </w:tcPr>
          <w:p>
            <w:pPr>
              <w:spacing w:after="40" w:before="40"/>
              <w:jc w:val="center"/>
            </w:pPr>
            <w:r/>
            <w:r>
              <w:rPr>
                <w:rFonts w:ascii="Times New Roman" w:hAnsi="Times New Roman" w:eastAsia="Times New Roman"/>
                <w:b w:val="0"/>
                <w:i w:val="0"/>
                <w:sz w:val="18"/>
              </w:rPr>
              <w:t>6</w:t>
            </w:r>
          </w:p>
        </w:tc>
        <w:tc>
          <w:tcPr>
            <w:tcW w:type="dxa" w:w="864"/>
          </w:tcPr>
          <w:p>
            <w:pPr>
              <w:spacing w:after="40" w:before="40"/>
              <w:jc w:val="center"/>
            </w:pPr>
            <w:r/>
            <w:r>
              <w:rPr>
                <w:rFonts w:ascii="Times New Roman" w:hAnsi="Times New Roman" w:eastAsia="Times New Roman"/>
                <w:b w:val="0"/>
                <w:i w:val="0"/>
                <w:sz w:val="18"/>
              </w:rPr>
              <w:t>8</w:t>
            </w:r>
          </w:p>
        </w:tc>
        <w:tc>
          <w:tcPr>
            <w:tcW w:type="dxa" w:w="864"/>
          </w:tcPr>
          <w:p>
            <w:pPr>
              <w:spacing w:after="40" w:before="40"/>
              <w:jc w:val="center"/>
            </w:pPr>
            <w:r/>
            <w:r>
              <w:rPr>
                <w:rFonts w:ascii="Times New Roman" w:hAnsi="Times New Roman" w:eastAsia="Times New Roman"/>
                <w:b w:val="0"/>
                <w:i w:val="0"/>
                <w:sz w:val="18"/>
              </w:rPr>
              <w:t>16</w:t>
            </w:r>
          </w:p>
        </w:tc>
      </w:tr>
      <w:tr>
        <w:tc>
          <w:tcPr>
            <w:tcW w:type="dxa" w:w="2160"/>
          </w:tcPr>
          <w:p>
            <w:pPr>
              <w:spacing w:after="40" w:before="40"/>
              <w:jc w:val="center"/>
            </w:pPr>
            <w:r/>
            <w:r>
              <w:rPr>
                <w:rFonts w:ascii="Times New Roman" w:hAnsi="Times New Roman" w:eastAsia="Times New Roman"/>
                <w:b w:val="0"/>
                <w:i w:val="0"/>
                <w:sz w:val="18"/>
              </w:rPr>
              <w:t>year</w:t>
            </w:r>
          </w:p>
        </w:tc>
        <w:tc>
          <w:tcPr>
            <w:tcW w:type="dxa" w:w="1008"/>
          </w:tcPr>
          <w:p>
            <w:pPr>
              <w:spacing w:after="40" w:before="40"/>
              <w:jc w:val="center"/>
            </w:pPr>
            <w:r/>
            <w:r>
              <w:rPr>
                <w:rFonts w:ascii="Times New Roman" w:hAnsi="Times New Roman" w:eastAsia="Times New Roman"/>
                <w:b w:val="0"/>
                <w:i w:val="0"/>
                <w:sz w:val="18"/>
              </w:rPr>
              <w:t>2011,6</w:t>
            </w:r>
          </w:p>
        </w:tc>
        <w:tc>
          <w:tcPr>
            <w:tcW w:type="dxa" w:w="1008"/>
          </w:tcPr>
          <w:p>
            <w:pPr>
              <w:spacing w:after="40" w:before="40"/>
              <w:jc w:val="center"/>
            </w:pPr>
            <w:r/>
            <w:r>
              <w:rPr>
                <w:rFonts w:ascii="Times New Roman" w:hAnsi="Times New Roman" w:eastAsia="Times New Roman"/>
                <w:b w:val="0"/>
                <w:i w:val="0"/>
                <w:sz w:val="18"/>
              </w:rPr>
              <w:t>6,298</w:t>
            </w:r>
          </w:p>
        </w:tc>
        <w:tc>
          <w:tcPr>
            <w:tcW w:type="dxa" w:w="864"/>
          </w:tcPr>
          <w:p>
            <w:pPr>
              <w:spacing w:after="40" w:before="40"/>
              <w:jc w:val="center"/>
            </w:pPr>
            <w:r/>
            <w:r>
              <w:rPr>
                <w:rFonts w:ascii="Times New Roman" w:hAnsi="Times New Roman" w:eastAsia="Times New Roman"/>
                <w:b w:val="0"/>
                <w:i w:val="0"/>
                <w:sz w:val="18"/>
              </w:rPr>
              <w:t>2000</w:t>
            </w:r>
          </w:p>
        </w:tc>
        <w:tc>
          <w:tcPr>
            <w:tcW w:type="dxa" w:w="864"/>
          </w:tcPr>
          <w:p>
            <w:pPr>
              <w:spacing w:after="40" w:before="40"/>
              <w:jc w:val="center"/>
            </w:pPr>
            <w:r/>
            <w:r>
              <w:rPr>
                <w:rFonts w:ascii="Times New Roman" w:hAnsi="Times New Roman" w:eastAsia="Times New Roman"/>
                <w:b w:val="0"/>
                <w:i w:val="0"/>
                <w:sz w:val="18"/>
              </w:rPr>
              <w:t>2006</w:t>
            </w:r>
          </w:p>
        </w:tc>
        <w:tc>
          <w:tcPr>
            <w:tcW w:type="dxa" w:w="1080"/>
          </w:tcPr>
          <w:p>
            <w:pPr>
              <w:spacing w:after="40" w:before="40"/>
              <w:jc w:val="center"/>
            </w:pPr>
            <w:r/>
            <w:r>
              <w:rPr>
                <w:rFonts w:ascii="Times New Roman" w:hAnsi="Times New Roman" w:eastAsia="Times New Roman"/>
                <w:b w:val="0"/>
                <w:i w:val="0"/>
                <w:sz w:val="18"/>
              </w:rPr>
              <w:t>2012</w:t>
            </w:r>
          </w:p>
        </w:tc>
        <w:tc>
          <w:tcPr>
            <w:tcW w:type="dxa" w:w="864"/>
          </w:tcPr>
          <w:p>
            <w:pPr>
              <w:spacing w:after="40" w:before="40"/>
              <w:jc w:val="center"/>
            </w:pPr>
            <w:r/>
            <w:r>
              <w:rPr>
                <w:rFonts w:ascii="Times New Roman" w:hAnsi="Times New Roman" w:eastAsia="Times New Roman"/>
                <w:b w:val="0"/>
                <w:i w:val="0"/>
                <w:sz w:val="18"/>
              </w:rPr>
              <w:t>2017</w:t>
            </w:r>
          </w:p>
        </w:tc>
        <w:tc>
          <w:tcPr>
            <w:tcW w:type="dxa" w:w="864"/>
          </w:tcPr>
          <w:p>
            <w:pPr>
              <w:spacing w:after="40" w:before="40"/>
              <w:jc w:val="center"/>
            </w:pPr>
            <w:r/>
            <w:r>
              <w:rPr>
                <w:rFonts w:ascii="Times New Roman" w:hAnsi="Times New Roman" w:eastAsia="Times New Roman"/>
                <w:b w:val="0"/>
                <w:i w:val="0"/>
                <w:sz w:val="18"/>
              </w:rPr>
              <w:t>2022</w:t>
            </w:r>
          </w:p>
        </w:tc>
      </w:tr>
      <w:tr>
        <w:tc>
          <w:tcPr>
            <w:tcW w:type="dxa" w:w="2160"/>
          </w:tcPr>
          <w:p>
            <w:pPr>
              <w:spacing w:after="40" w:before="40"/>
              <w:jc w:val="center"/>
            </w:pPr>
            <w:r/>
            <w:r>
              <w:rPr>
                <w:rFonts w:ascii="Times New Roman" w:hAnsi="Times New Roman" w:eastAsia="Times New Roman"/>
                <w:b w:val="0"/>
                <w:i w:val="0"/>
                <w:sz w:val="18"/>
              </w:rPr>
              <w:t>comb_l_100km</w:t>
            </w:r>
          </w:p>
        </w:tc>
        <w:tc>
          <w:tcPr>
            <w:tcW w:type="dxa" w:w="1008"/>
          </w:tcPr>
          <w:p>
            <w:pPr>
              <w:spacing w:after="40" w:before="40"/>
              <w:jc w:val="center"/>
            </w:pPr>
            <w:r/>
            <w:r>
              <w:rPr>
                <w:rFonts w:ascii="Times New Roman" w:hAnsi="Times New Roman" w:eastAsia="Times New Roman"/>
                <w:b w:val="0"/>
                <w:i w:val="0"/>
                <w:sz w:val="18"/>
              </w:rPr>
              <w:t>11,034</w:t>
            </w:r>
          </w:p>
        </w:tc>
        <w:tc>
          <w:tcPr>
            <w:tcW w:type="dxa" w:w="1008"/>
          </w:tcPr>
          <w:p>
            <w:pPr>
              <w:spacing w:after="40" w:before="40"/>
              <w:jc w:val="center"/>
            </w:pPr>
            <w:r/>
            <w:r>
              <w:rPr>
                <w:rFonts w:ascii="Times New Roman" w:hAnsi="Times New Roman" w:eastAsia="Times New Roman"/>
                <w:b w:val="0"/>
                <w:i w:val="0"/>
                <w:sz w:val="18"/>
              </w:rPr>
              <w:t>2,911</w:t>
            </w:r>
          </w:p>
        </w:tc>
        <w:tc>
          <w:tcPr>
            <w:tcW w:type="dxa" w:w="864"/>
          </w:tcPr>
          <w:p>
            <w:pPr>
              <w:spacing w:after="40" w:before="40"/>
              <w:jc w:val="center"/>
            </w:pPr>
            <w:r/>
            <w:r>
              <w:rPr>
                <w:rFonts w:ascii="Times New Roman" w:hAnsi="Times New Roman" w:eastAsia="Times New Roman"/>
                <w:b w:val="0"/>
                <w:i w:val="0"/>
                <w:sz w:val="18"/>
              </w:rPr>
              <w:t>3,6</w:t>
            </w:r>
          </w:p>
        </w:tc>
        <w:tc>
          <w:tcPr>
            <w:tcW w:type="dxa" w:w="864"/>
          </w:tcPr>
          <w:p>
            <w:pPr>
              <w:spacing w:after="40" w:before="40"/>
              <w:jc w:val="center"/>
            </w:pPr>
            <w:r/>
            <w:r>
              <w:rPr>
                <w:rFonts w:ascii="Times New Roman" w:hAnsi="Times New Roman" w:eastAsia="Times New Roman"/>
                <w:b w:val="0"/>
                <w:i w:val="0"/>
                <w:sz w:val="18"/>
              </w:rPr>
              <w:t>9,1</w:t>
            </w:r>
          </w:p>
        </w:tc>
        <w:tc>
          <w:tcPr>
            <w:tcW w:type="dxa" w:w="1080"/>
          </w:tcPr>
          <w:p>
            <w:pPr>
              <w:spacing w:after="40" w:before="40"/>
              <w:jc w:val="center"/>
            </w:pPr>
            <w:r/>
            <w:r>
              <w:rPr>
                <w:rFonts w:ascii="Times New Roman" w:hAnsi="Times New Roman" w:eastAsia="Times New Roman"/>
                <w:b w:val="0"/>
                <w:i w:val="0"/>
                <w:sz w:val="18"/>
              </w:rPr>
              <w:t>10,6</w:t>
            </w:r>
          </w:p>
        </w:tc>
        <w:tc>
          <w:tcPr>
            <w:tcW w:type="dxa" w:w="864"/>
          </w:tcPr>
          <w:p>
            <w:pPr>
              <w:spacing w:after="40" w:before="40"/>
              <w:jc w:val="center"/>
            </w:pPr>
            <w:r/>
            <w:r>
              <w:rPr>
                <w:rFonts w:ascii="Times New Roman" w:hAnsi="Times New Roman" w:eastAsia="Times New Roman"/>
                <w:b w:val="0"/>
                <w:i w:val="0"/>
                <w:sz w:val="18"/>
              </w:rPr>
              <w:t>12,7</w:t>
            </w:r>
          </w:p>
        </w:tc>
        <w:tc>
          <w:tcPr>
            <w:tcW w:type="dxa" w:w="864"/>
          </w:tcPr>
          <w:p>
            <w:pPr>
              <w:spacing w:after="40" w:before="40"/>
              <w:jc w:val="center"/>
            </w:pPr>
            <w:r/>
            <w:r>
              <w:rPr>
                <w:rFonts w:ascii="Times New Roman" w:hAnsi="Times New Roman" w:eastAsia="Times New Roman"/>
                <w:b w:val="0"/>
                <w:i w:val="0"/>
                <w:sz w:val="18"/>
              </w:rPr>
              <w:t>26,1</w:t>
            </w:r>
          </w:p>
        </w:tc>
      </w:tr>
    </w:tbl>
    <w:p>
      <w:pPr>
        <w:spacing w:after="40"/>
      </w:pPr>
    </w:p>
    <w:p>
      <w:pPr>
        <w:spacing w:before="120" w:after="60"/>
      </w:pPr>
      <w:r>
        <w:rPr>
          <w:rFonts w:ascii="Times New Roman" w:hAnsi="Times New Roman" w:eastAsia="Times New Roman"/>
          <w:b/>
          <w:i/>
          <w:sz w:val="20"/>
        </w:rPr>
        <w:t>4.2 Distribusi dan Pola Visual</w:t>
      </w:r>
    </w:p>
    <w:p>
      <w:pPr>
        <w:spacing w:after="120" w:before="0" w:line="240" w:lineRule="auto"/>
        <w:ind w:firstLine="432"/>
        <w:jc w:val="both"/>
      </w:pPr>
      <w:r>
        <w:rPr>
          <w:rFonts w:ascii="Times New Roman" w:hAnsi="Times New Roman" w:eastAsia="Times New Roman"/>
          <w:b w:val="0"/>
          <w:i w:val="0"/>
          <w:sz w:val="20"/>
        </w:rPr>
        <w:t>Gambar 1 memperlihatkan distribusi keempat variabel. Ukuran mesin dan konsumsi bahan bakar sama-sama memiliki skewness kanan dengan ekor atas panjang yang berasal dari kendaraan mewah dan berperforma tinggi. Jumlah silinder bersifat diskret dan terkonsentrasi pada 4, 6, dan 8 silinder, sedangkan tahun model terdistribusi hampir uniform.</w:t>
      </w:r>
    </w:p>
    <w:p>
      <w:pPr>
        <w:spacing w:before="120"/>
        <w:jc w:val="center"/>
      </w:pPr>
      <w:r>
        <w:drawing>
          <wp:inline xmlns:a="http://schemas.openxmlformats.org/drawingml/2006/main" xmlns:pic="http://schemas.openxmlformats.org/drawingml/2006/picture">
            <wp:extent cx="5120640" cy="3231105"/>
            <wp:docPr id="1" name="Picture 1"/>
            <wp:cNvGraphicFramePr>
              <a:graphicFrameLocks noChangeAspect="1"/>
            </wp:cNvGraphicFramePr>
            <a:graphic>
              <a:graphicData uri="http://schemas.openxmlformats.org/drawingml/2006/picture">
                <pic:pic>
                  <pic:nvPicPr>
                    <pic:cNvPr id="0" name="cell18_img1.png"/>
                    <pic:cNvPicPr/>
                  </pic:nvPicPr>
                  <pic:blipFill>
                    <a:blip r:embed="rId9"/>
                    <a:stretch>
                      <a:fillRect/>
                    </a:stretch>
                  </pic:blipFill>
                  <pic:spPr>
                    <a:xfrm>
                      <a:off x="0" y="0"/>
                      <a:ext cx="5120640" cy="3231105"/>
                    </a:xfrm>
                    <a:prstGeom prst="rect"/>
                  </pic:spPr>
                </pic:pic>
              </a:graphicData>
            </a:graphic>
          </wp:inline>
        </w:drawing>
      </w:r>
    </w:p>
    <w:p>
      <w:pPr>
        <w:spacing w:after="160"/>
        <w:jc w:val="center"/>
      </w:pPr>
      <w:r>
        <w:rPr>
          <w:rFonts w:ascii="Times New Roman" w:hAnsi="Times New Roman" w:eastAsia="Times New Roman"/>
          <w:b w:val="0"/>
          <w:i w:val="0"/>
          <w:sz w:val="18"/>
        </w:rPr>
        <w:t>Gambar 1. Distribusi ukuran mesin, jumlah silinder, tahun model, dan konsumsi bahan bakar gabungan.</w:t>
      </w:r>
    </w:p>
    <w:p>
      <w:pPr>
        <w:spacing w:after="120" w:before="0" w:line="240" w:lineRule="auto"/>
        <w:ind w:firstLine="432"/>
        <w:jc w:val="both"/>
      </w:pPr>
      <w:r>
        <w:rPr>
          <w:rFonts w:ascii="Times New Roman" w:hAnsi="Times New Roman" w:eastAsia="Times New Roman"/>
          <w:b w:val="0"/>
          <w:i w:val="0"/>
          <w:sz w:val="20"/>
        </w:rPr>
        <w:t>Gambar 2 menampilkan plot pencar setiap prediktor terhadap respon. Ukuran mesin menunjukkan hubungan monotonik yang jelas namun melandai setelah sekitar 5 L, yaitu bentuk kelengkungan konkaf yang konsisten dengan pola diminishing returns. Jumlah silinder juga sangat terkait dengan respon namun bersifat diskret sehingga membentuk garis-garis vertikal. Tahun model tampak datar, mengindikasikan korelasi yang nyaris nol dengan respon.</w:t>
      </w:r>
    </w:p>
    <w:p>
      <w:pPr>
        <w:spacing w:before="120"/>
        <w:jc w:val="center"/>
      </w:pPr>
      <w:r>
        <w:drawing>
          <wp:inline xmlns:a="http://schemas.openxmlformats.org/drawingml/2006/main" xmlns:pic="http://schemas.openxmlformats.org/drawingml/2006/picture">
            <wp:extent cx="5669280" cy="1657997"/>
            <wp:docPr id="2" name="Picture 2"/>
            <wp:cNvGraphicFramePr>
              <a:graphicFrameLocks noChangeAspect="1"/>
            </wp:cNvGraphicFramePr>
            <a:graphic>
              <a:graphicData uri="http://schemas.openxmlformats.org/drawingml/2006/picture">
                <pic:pic>
                  <pic:nvPicPr>
                    <pic:cNvPr id="0" name="cell21_img2.png"/>
                    <pic:cNvPicPr/>
                  </pic:nvPicPr>
                  <pic:blipFill>
                    <a:blip r:embed="rId10"/>
                    <a:stretch>
                      <a:fillRect/>
                    </a:stretch>
                  </pic:blipFill>
                  <pic:spPr>
                    <a:xfrm>
                      <a:off x="0" y="0"/>
                      <a:ext cx="5669280" cy="1657997"/>
                    </a:xfrm>
                    <a:prstGeom prst="rect"/>
                  </pic:spPr>
                </pic:pic>
              </a:graphicData>
            </a:graphic>
          </wp:inline>
        </w:drawing>
      </w:r>
    </w:p>
    <w:p>
      <w:pPr>
        <w:spacing w:after="160"/>
        <w:jc w:val="center"/>
      </w:pPr>
      <w:r>
        <w:rPr>
          <w:rFonts w:ascii="Times New Roman" w:hAnsi="Times New Roman" w:eastAsia="Times New Roman"/>
          <w:b w:val="0"/>
          <w:i w:val="0"/>
          <w:sz w:val="18"/>
        </w:rPr>
        <w:t>Gambar 2. Plot pencar tiap prediktor terhadap konsumsi bahan bakar gabungan. Kelengkungan pada ukuran mesin menjadi motivasi visual perluasan polinomial.</w:t>
      </w:r>
    </w:p>
    <w:p>
      <w:pPr>
        <w:spacing w:before="120" w:after="60"/>
      </w:pPr>
      <w:r>
        <w:rPr>
          <w:rFonts w:ascii="Times New Roman" w:hAnsi="Times New Roman" w:eastAsia="Times New Roman"/>
          <w:b/>
          <w:i/>
          <w:sz w:val="20"/>
        </w:rPr>
        <w:t>4.3 Analisis Korelasi dan Seleksi Fitur (Tahap 1)</w:t>
      </w:r>
    </w:p>
    <w:p>
      <w:pPr>
        <w:spacing w:after="120" w:before="0" w:line="240" w:lineRule="auto"/>
        <w:ind w:firstLine="432"/>
        <w:jc w:val="both"/>
      </w:pPr>
      <w:r>
        <w:rPr>
          <w:rFonts w:ascii="Times New Roman" w:hAnsi="Times New Roman" w:eastAsia="Times New Roman"/>
          <w:b w:val="0"/>
          <w:i w:val="0"/>
          <w:sz w:val="20"/>
        </w:rPr>
        <w:t>Tabel 2 merangkum korelasi Pearson dan Spearman setiap prediktor terhadap respon, beserta kesenjangan absolutnya. Matriks korelasi lengkap disajikan pada Lampiran (Gambar A1 dan A2). Dua prediktor menunjukkan asosiasi kuat dengan respon, yaitu ukuran mesin (r ≈ 0,807) dan jumlah silinder (r ≈ 0,772), sedangkan tahun model praktis tidak berkorelasi (|r| &lt; 0,07). Kesenjangan positif yang berarti pada ukuran mesin (Spearman − Pearson ≈ 0,038) menguatkan indikasi kelengkungan yang terlihat pada plot pencar.</w:t>
      </w:r>
    </w:p>
    <w:p>
      <w:pPr>
        <w:spacing w:before="160" w:after="60"/>
        <w:jc w:val="left"/>
      </w:pPr>
      <w:r>
        <w:rPr>
          <w:rFonts w:ascii="Times New Roman" w:hAnsi="Times New Roman" w:eastAsia="Times New Roman"/>
          <w:b w:val="0"/>
          <w:i w:val="0"/>
          <w:sz w:val="20"/>
        </w:rPr>
        <w:t>Tabel 2. Korelasi prediktor terhadap respon comb_l_100km</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left w:val="none" w:sz="0" w:space="0" w:color="auto"/>
          <w:right w:val="none" w:sz="0" w:space="0" w:color="auto"/>
          <w:insideV w:val="none" w:sz="0" w:space="0" w:color="auto"/>
        </w:tblBorders>
      </w:tblPr>
      <w:tblGrid>
        <w:gridCol w:w="2340"/>
        <w:gridCol w:w="2340"/>
        <w:gridCol w:w="2340"/>
        <w:gridCol w:w="2340"/>
      </w:tblGrid>
      <w:tr>
        <w:tc>
          <w:tcPr>
            <w:tcW w:type="dxa" w:w="2304"/>
          </w:tcPr>
          <w:p>
            <w:pPr>
              <w:spacing w:after="40" w:before="40"/>
              <w:jc w:val="center"/>
            </w:pPr>
            <w:r/>
            <w:r>
              <w:rPr>
                <w:rFonts w:ascii="Times New Roman" w:hAnsi="Times New Roman" w:eastAsia="Times New Roman"/>
                <w:b/>
                <w:i w:val="0"/>
                <w:sz w:val="18"/>
              </w:rPr>
              <w:t>Prediktor</w:t>
            </w:r>
          </w:p>
        </w:tc>
        <w:tc>
          <w:tcPr>
            <w:tcW w:type="dxa" w:w="1440"/>
          </w:tcPr>
          <w:p>
            <w:pPr>
              <w:spacing w:after="40" w:before="40"/>
              <w:jc w:val="center"/>
            </w:pPr>
            <w:r/>
            <w:r>
              <w:rPr>
                <w:rFonts w:ascii="Times New Roman" w:hAnsi="Times New Roman" w:eastAsia="Times New Roman"/>
                <w:b/>
                <w:i w:val="0"/>
                <w:sz w:val="18"/>
              </w:rPr>
              <w:t>Pearson</w:t>
            </w:r>
          </w:p>
        </w:tc>
        <w:tc>
          <w:tcPr>
            <w:tcW w:type="dxa" w:w="1440"/>
          </w:tcPr>
          <w:p>
            <w:pPr>
              <w:spacing w:after="40" w:before="40"/>
              <w:jc w:val="center"/>
            </w:pPr>
            <w:r/>
            <w:r>
              <w:rPr>
                <w:rFonts w:ascii="Times New Roman" w:hAnsi="Times New Roman" w:eastAsia="Times New Roman"/>
                <w:b/>
                <w:i w:val="0"/>
                <w:sz w:val="18"/>
              </w:rPr>
              <w:t>Spearman</w:t>
            </w:r>
          </w:p>
        </w:tc>
        <w:tc>
          <w:tcPr>
            <w:tcW w:type="dxa" w:w="2592"/>
          </w:tcPr>
          <w:p>
            <w:pPr>
              <w:spacing w:after="40" w:before="40"/>
              <w:jc w:val="center"/>
            </w:pPr>
            <w:r/>
            <w:r>
              <w:rPr>
                <w:rFonts w:ascii="Times New Roman" w:hAnsi="Times New Roman" w:eastAsia="Times New Roman"/>
                <w:b/>
                <w:i w:val="0"/>
                <w:sz w:val="18"/>
              </w:rPr>
              <w:t>|Spearman| − |Pearson|</w:t>
            </w:r>
          </w:p>
        </w:tc>
      </w:tr>
      <w:tr>
        <w:tc>
          <w:tcPr>
            <w:tcW w:type="dxa" w:w="2304"/>
          </w:tcPr>
          <w:p>
            <w:pPr>
              <w:spacing w:after="40" w:before="40"/>
              <w:jc w:val="center"/>
            </w:pPr>
            <w:r/>
            <w:r>
              <w:rPr>
                <w:rFonts w:ascii="Times New Roman" w:hAnsi="Times New Roman" w:eastAsia="Times New Roman"/>
                <w:b w:val="0"/>
                <w:i w:val="0"/>
                <w:sz w:val="18"/>
              </w:rPr>
              <w:t>engine_size</w:t>
            </w:r>
          </w:p>
        </w:tc>
        <w:tc>
          <w:tcPr>
            <w:tcW w:type="dxa" w:w="1440"/>
          </w:tcPr>
          <w:p>
            <w:pPr>
              <w:spacing w:after="40" w:before="40"/>
              <w:jc w:val="center"/>
            </w:pPr>
            <w:r/>
            <w:r>
              <w:rPr>
                <w:rFonts w:ascii="Times New Roman" w:hAnsi="Times New Roman" w:eastAsia="Times New Roman"/>
                <w:b w:val="0"/>
                <w:i w:val="0"/>
                <w:sz w:val="18"/>
              </w:rPr>
              <w:t>0,807</w:t>
            </w:r>
          </w:p>
        </w:tc>
        <w:tc>
          <w:tcPr>
            <w:tcW w:type="dxa" w:w="1440"/>
          </w:tcPr>
          <w:p>
            <w:pPr>
              <w:spacing w:after="40" w:before="40"/>
              <w:jc w:val="center"/>
            </w:pPr>
            <w:r/>
            <w:r>
              <w:rPr>
                <w:rFonts w:ascii="Times New Roman" w:hAnsi="Times New Roman" w:eastAsia="Times New Roman"/>
                <w:b w:val="0"/>
                <w:i w:val="0"/>
                <w:sz w:val="18"/>
              </w:rPr>
              <w:t>0,845</w:t>
            </w:r>
          </w:p>
        </w:tc>
        <w:tc>
          <w:tcPr>
            <w:tcW w:type="dxa" w:w="2592"/>
          </w:tcPr>
          <w:p>
            <w:pPr>
              <w:spacing w:after="40" w:before="40"/>
              <w:jc w:val="center"/>
            </w:pPr>
            <w:r/>
            <w:r>
              <w:rPr>
                <w:rFonts w:ascii="Times New Roman" w:hAnsi="Times New Roman" w:eastAsia="Times New Roman"/>
                <w:b w:val="0"/>
                <w:i w:val="0"/>
                <w:sz w:val="18"/>
              </w:rPr>
              <w:t>0,038</w:t>
            </w:r>
          </w:p>
        </w:tc>
      </w:tr>
      <w:tr>
        <w:tc>
          <w:tcPr>
            <w:tcW w:type="dxa" w:w="2304"/>
          </w:tcPr>
          <w:p>
            <w:pPr>
              <w:spacing w:after="40" w:before="40"/>
              <w:jc w:val="center"/>
            </w:pPr>
            <w:r/>
            <w:r>
              <w:rPr>
                <w:rFonts w:ascii="Times New Roman" w:hAnsi="Times New Roman" w:eastAsia="Times New Roman"/>
                <w:b w:val="0"/>
                <w:i w:val="0"/>
                <w:sz w:val="18"/>
              </w:rPr>
              <w:t>cylinders</w:t>
            </w:r>
          </w:p>
        </w:tc>
        <w:tc>
          <w:tcPr>
            <w:tcW w:type="dxa" w:w="1440"/>
          </w:tcPr>
          <w:p>
            <w:pPr>
              <w:spacing w:after="40" w:before="40"/>
              <w:jc w:val="center"/>
            </w:pPr>
            <w:r/>
            <w:r>
              <w:rPr>
                <w:rFonts w:ascii="Times New Roman" w:hAnsi="Times New Roman" w:eastAsia="Times New Roman"/>
                <w:b w:val="0"/>
                <w:i w:val="0"/>
                <w:sz w:val="18"/>
              </w:rPr>
              <w:t>0,772</w:t>
            </w:r>
          </w:p>
        </w:tc>
        <w:tc>
          <w:tcPr>
            <w:tcW w:type="dxa" w:w="1440"/>
          </w:tcPr>
          <w:p>
            <w:pPr>
              <w:spacing w:after="40" w:before="40"/>
              <w:jc w:val="center"/>
            </w:pPr>
            <w:r/>
            <w:r>
              <w:rPr>
                <w:rFonts w:ascii="Times New Roman" w:hAnsi="Times New Roman" w:eastAsia="Times New Roman"/>
                <w:b w:val="0"/>
                <w:i w:val="0"/>
                <w:sz w:val="18"/>
              </w:rPr>
              <w:t>0,818</w:t>
            </w:r>
          </w:p>
        </w:tc>
        <w:tc>
          <w:tcPr>
            <w:tcW w:type="dxa" w:w="2592"/>
          </w:tcPr>
          <w:p>
            <w:pPr>
              <w:spacing w:after="40" w:before="40"/>
              <w:jc w:val="center"/>
            </w:pPr>
            <w:r/>
            <w:r>
              <w:rPr>
                <w:rFonts w:ascii="Times New Roman" w:hAnsi="Times New Roman" w:eastAsia="Times New Roman"/>
                <w:b w:val="0"/>
                <w:i w:val="0"/>
                <w:sz w:val="18"/>
              </w:rPr>
              <w:t>0,046</w:t>
            </w:r>
          </w:p>
        </w:tc>
      </w:tr>
      <w:tr>
        <w:tc>
          <w:tcPr>
            <w:tcW w:type="dxa" w:w="2304"/>
          </w:tcPr>
          <w:p>
            <w:pPr>
              <w:spacing w:after="40" w:before="40"/>
              <w:jc w:val="center"/>
            </w:pPr>
            <w:r/>
            <w:r>
              <w:rPr>
                <w:rFonts w:ascii="Times New Roman" w:hAnsi="Times New Roman" w:eastAsia="Times New Roman"/>
                <w:b w:val="0"/>
                <w:i w:val="0"/>
                <w:sz w:val="18"/>
              </w:rPr>
              <w:t>year</w:t>
            </w:r>
          </w:p>
        </w:tc>
        <w:tc>
          <w:tcPr>
            <w:tcW w:type="dxa" w:w="1440"/>
          </w:tcPr>
          <w:p>
            <w:pPr>
              <w:spacing w:after="40" w:before="40"/>
              <w:jc w:val="center"/>
            </w:pPr>
            <w:r/>
            <w:r>
              <w:rPr>
                <w:rFonts w:ascii="Times New Roman" w:hAnsi="Times New Roman" w:eastAsia="Times New Roman"/>
                <w:b w:val="0"/>
                <w:i w:val="0"/>
                <w:sz w:val="18"/>
              </w:rPr>
              <w:t>−0,068</w:t>
            </w:r>
          </w:p>
        </w:tc>
        <w:tc>
          <w:tcPr>
            <w:tcW w:type="dxa" w:w="1440"/>
          </w:tcPr>
          <w:p>
            <w:pPr>
              <w:spacing w:after="40" w:before="40"/>
              <w:jc w:val="center"/>
            </w:pPr>
            <w:r/>
            <w:r>
              <w:rPr>
                <w:rFonts w:ascii="Times New Roman" w:hAnsi="Times New Roman" w:eastAsia="Times New Roman"/>
                <w:b w:val="0"/>
                <w:i w:val="0"/>
                <w:sz w:val="18"/>
              </w:rPr>
              <w:t>−0,073</w:t>
            </w:r>
          </w:p>
        </w:tc>
        <w:tc>
          <w:tcPr>
            <w:tcW w:type="dxa" w:w="2592"/>
          </w:tcPr>
          <w:p>
            <w:pPr>
              <w:spacing w:after="40" w:before="40"/>
              <w:jc w:val="center"/>
            </w:pPr>
            <w:r/>
            <w:r>
              <w:rPr>
                <w:rFonts w:ascii="Times New Roman" w:hAnsi="Times New Roman" w:eastAsia="Times New Roman"/>
                <w:b w:val="0"/>
                <w:i w:val="0"/>
                <w:sz w:val="18"/>
              </w:rPr>
              <w:t>0,005</w:t>
            </w:r>
          </w:p>
        </w:tc>
      </w:tr>
    </w:tbl>
    <w:p>
      <w:pPr>
        <w:spacing w:after="40"/>
      </w:pPr>
    </w:p>
    <w:p>
      <w:pPr>
        <w:spacing w:after="120" w:before="0" w:line="240" w:lineRule="auto"/>
        <w:ind w:firstLine="432"/>
        <w:jc w:val="both"/>
      </w:pPr>
      <w:r>
        <w:rPr>
          <w:rFonts w:ascii="Times New Roman" w:hAnsi="Times New Roman" w:eastAsia="Times New Roman"/>
          <w:b w:val="0"/>
          <w:i w:val="0"/>
          <w:sz w:val="20"/>
        </w:rPr>
        <w:t>Hal yang patut diwaspadai adalah korelasi antara ukuran mesin dan jumlah silinder yang sangat tinggi (Pearson r ≈ 0,91; Spearman ≈ 0,94). Nilai sebesar itu menandakan kedua prediktor hampir merupakan variabel yang sama, sehingga memasukkan keduanya ke dalam OLS akan menimbulkan multikolinieritas. Aturan Tahap 1 menanganinya dengan mempertahankan prediktor yang lebih kuat (ukuran mesin) dan membuang pasangannya (jumlah silinder). Tabel 3 mendokumentasikan keputusan seleksi fitur secara teraudit.</w:t>
      </w:r>
    </w:p>
    <w:p>
      <w:pPr>
        <w:spacing w:before="160" w:after="60"/>
        <w:jc w:val="left"/>
      </w:pPr>
      <w:r>
        <w:rPr>
          <w:rFonts w:ascii="Times New Roman" w:hAnsi="Times New Roman" w:eastAsia="Times New Roman"/>
          <w:b w:val="0"/>
          <w:i w:val="0"/>
          <w:sz w:val="20"/>
        </w:rPr>
        <w:t>Tabel 3. Keputusan seleksi fitur Tahap 1</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left w:val="none" w:sz="0" w:space="0" w:color="auto"/>
          <w:right w:val="none" w:sz="0" w:space="0" w:color="auto"/>
          <w:insideV w:val="none" w:sz="0" w:space="0" w:color="auto"/>
        </w:tblBorders>
      </w:tblPr>
      <w:tblGrid>
        <w:gridCol w:w="1872"/>
        <w:gridCol w:w="1872"/>
        <w:gridCol w:w="1872"/>
        <w:gridCol w:w="1872"/>
        <w:gridCol w:w="1872"/>
      </w:tblGrid>
      <w:tr>
        <w:tc>
          <w:tcPr>
            <w:tcW w:type="dxa" w:w="1728"/>
          </w:tcPr>
          <w:p>
            <w:pPr>
              <w:spacing w:after="40" w:before="40"/>
              <w:jc w:val="center"/>
            </w:pPr>
            <w:r/>
            <w:r>
              <w:rPr>
                <w:rFonts w:ascii="Times New Roman" w:hAnsi="Times New Roman" w:eastAsia="Times New Roman"/>
                <w:b/>
                <w:i w:val="0"/>
                <w:sz w:val="18"/>
              </w:rPr>
              <w:t>Prediktor</w:t>
            </w:r>
          </w:p>
        </w:tc>
        <w:tc>
          <w:tcPr>
            <w:tcW w:type="dxa" w:w="1296"/>
          </w:tcPr>
          <w:p>
            <w:pPr>
              <w:spacing w:after="40" w:before="40"/>
              <w:jc w:val="center"/>
            </w:pPr>
            <w:r/>
            <w:r>
              <w:rPr>
                <w:rFonts w:ascii="Times New Roman" w:hAnsi="Times New Roman" w:eastAsia="Times New Roman"/>
                <w:b/>
                <w:i w:val="0"/>
                <w:sz w:val="18"/>
              </w:rPr>
              <w:t>r dengan y</w:t>
            </w:r>
          </w:p>
        </w:tc>
        <w:tc>
          <w:tcPr>
            <w:tcW w:type="dxa" w:w="1584"/>
          </w:tcPr>
          <w:p>
            <w:pPr>
              <w:spacing w:after="40" w:before="40"/>
              <w:jc w:val="center"/>
            </w:pPr>
            <w:r/>
            <w:r>
              <w:rPr>
                <w:rFonts w:ascii="Times New Roman" w:hAnsi="Times New Roman" w:eastAsia="Times New Roman"/>
                <w:b/>
                <w:i w:val="0"/>
                <w:sz w:val="18"/>
              </w:rPr>
              <w:t>Peer terkuat</w:t>
            </w:r>
          </w:p>
        </w:tc>
        <w:tc>
          <w:tcPr>
            <w:tcW w:type="dxa" w:w="1440"/>
          </w:tcPr>
          <w:p>
            <w:pPr>
              <w:spacing w:after="40" w:before="40"/>
              <w:jc w:val="center"/>
            </w:pPr>
            <w:r/>
            <w:r>
              <w:rPr>
                <w:rFonts w:ascii="Times New Roman" w:hAnsi="Times New Roman" w:eastAsia="Times New Roman"/>
                <w:b/>
                <w:i w:val="0"/>
                <w:sz w:val="18"/>
              </w:rPr>
              <w:t>r dengan peer</w:t>
            </w:r>
          </w:p>
        </w:tc>
        <w:tc>
          <w:tcPr>
            <w:tcW w:type="dxa" w:w="3024"/>
          </w:tcPr>
          <w:p>
            <w:pPr>
              <w:spacing w:after="40" w:before="40"/>
              <w:jc w:val="center"/>
            </w:pPr>
            <w:r/>
            <w:r>
              <w:rPr>
                <w:rFonts w:ascii="Times New Roman" w:hAnsi="Times New Roman" w:eastAsia="Times New Roman"/>
                <w:b/>
                <w:i w:val="0"/>
                <w:sz w:val="18"/>
              </w:rPr>
              <w:t>Keputusan</w:t>
            </w:r>
          </w:p>
        </w:tc>
      </w:tr>
      <w:tr>
        <w:tc>
          <w:tcPr>
            <w:tcW w:type="dxa" w:w="1728"/>
          </w:tcPr>
          <w:p>
            <w:pPr>
              <w:spacing w:after="40" w:before="40"/>
              <w:jc w:val="center"/>
            </w:pPr>
            <w:r/>
            <w:r>
              <w:rPr>
                <w:rFonts w:ascii="Times New Roman" w:hAnsi="Times New Roman" w:eastAsia="Times New Roman"/>
                <w:b w:val="0"/>
                <w:i w:val="0"/>
                <w:sz w:val="18"/>
              </w:rPr>
              <w:t>engine_size</w:t>
            </w:r>
          </w:p>
        </w:tc>
        <w:tc>
          <w:tcPr>
            <w:tcW w:type="dxa" w:w="1296"/>
          </w:tcPr>
          <w:p>
            <w:pPr>
              <w:spacing w:after="40" w:before="40"/>
              <w:jc w:val="center"/>
            </w:pPr>
            <w:r/>
            <w:r>
              <w:rPr>
                <w:rFonts w:ascii="Times New Roman" w:hAnsi="Times New Roman" w:eastAsia="Times New Roman"/>
                <w:b w:val="0"/>
                <w:i w:val="0"/>
                <w:sz w:val="18"/>
              </w:rPr>
              <w:t>0,807</w:t>
            </w:r>
          </w:p>
        </w:tc>
        <w:tc>
          <w:tcPr>
            <w:tcW w:type="dxa" w:w="1584"/>
          </w:tcPr>
          <w:p>
            <w:pPr>
              <w:spacing w:after="40" w:before="40"/>
              <w:jc w:val="center"/>
            </w:pPr>
            <w:r/>
            <w:r>
              <w:rPr>
                <w:rFonts w:ascii="Times New Roman" w:hAnsi="Times New Roman" w:eastAsia="Times New Roman"/>
                <w:b w:val="0"/>
                <w:i w:val="0"/>
                <w:sz w:val="18"/>
              </w:rPr>
              <w:t>cylinders</w:t>
            </w:r>
          </w:p>
        </w:tc>
        <w:tc>
          <w:tcPr>
            <w:tcW w:type="dxa" w:w="1440"/>
          </w:tcPr>
          <w:p>
            <w:pPr>
              <w:spacing w:after="40" w:before="40"/>
              <w:jc w:val="center"/>
            </w:pPr>
            <w:r/>
            <w:r>
              <w:rPr>
                <w:rFonts w:ascii="Times New Roman" w:hAnsi="Times New Roman" w:eastAsia="Times New Roman"/>
                <w:b w:val="0"/>
                <w:i w:val="0"/>
                <w:sz w:val="18"/>
              </w:rPr>
              <w:t>0,913</w:t>
            </w:r>
          </w:p>
        </w:tc>
        <w:tc>
          <w:tcPr>
            <w:tcW w:type="dxa" w:w="3024"/>
          </w:tcPr>
          <w:p>
            <w:pPr>
              <w:spacing w:after="40" w:before="40"/>
              <w:jc w:val="center"/>
            </w:pPr>
            <w:r/>
            <w:r>
              <w:rPr>
                <w:rFonts w:ascii="Times New Roman" w:hAnsi="Times New Roman" w:eastAsia="Times New Roman"/>
                <w:b w:val="0"/>
                <w:i w:val="0"/>
                <w:sz w:val="18"/>
              </w:rPr>
              <w:t>PERTAHANKAN (lebih kuat ke y)</w:t>
            </w:r>
          </w:p>
        </w:tc>
      </w:tr>
      <w:tr>
        <w:tc>
          <w:tcPr>
            <w:tcW w:type="dxa" w:w="1728"/>
          </w:tcPr>
          <w:p>
            <w:pPr>
              <w:spacing w:after="40" w:before="40"/>
              <w:jc w:val="center"/>
            </w:pPr>
            <w:r/>
            <w:r>
              <w:rPr>
                <w:rFonts w:ascii="Times New Roman" w:hAnsi="Times New Roman" w:eastAsia="Times New Roman"/>
                <w:b w:val="0"/>
                <w:i w:val="0"/>
                <w:sz w:val="18"/>
              </w:rPr>
              <w:t>cylinders</w:t>
            </w:r>
          </w:p>
        </w:tc>
        <w:tc>
          <w:tcPr>
            <w:tcW w:type="dxa" w:w="1296"/>
          </w:tcPr>
          <w:p>
            <w:pPr>
              <w:spacing w:after="40" w:before="40"/>
              <w:jc w:val="center"/>
            </w:pPr>
            <w:r/>
            <w:r>
              <w:rPr>
                <w:rFonts w:ascii="Times New Roman" w:hAnsi="Times New Roman" w:eastAsia="Times New Roman"/>
                <w:b w:val="0"/>
                <w:i w:val="0"/>
                <w:sz w:val="18"/>
              </w:rPr>
              <w:t>0,772</w:t>
            </w:r>
          </w:p>
        </w:tc>
        <w:tc>
          <w:tcPr>
            <w:tcW w:type="dxa" w:w="1584"/>
          </w:tcPr>
          <w:p>
            <w:pPr>
              <w:spacing w:after="40" w:before="40"/>
              <w:jc w:val="center"/>
            </w:pPr>
            <w:r/>
            <w:r>
              <w:rPr>
                <w:rFonts w:ascii="Times New Roman" w:hAnsi="Times New Roman" w:eastAsia="Times New Roman"/>
                <w:b w:val="0"/>
                <w:i w:val="0"/>
                <w:sz w:val="18"/>
              </w:rPr>
              <w:t>engine_size</w:t>
            </w:r>
          </w:p>
        </w:tc>
        <w:tc>
          <w:tcPr>
            <w:tcW w:type="dxa" w:w="1440"/>
          </w:tcPr>
          <w:p>
            <w:pPr>
              <w:spacing w:after="40" w:before="40"/>
              <w:jc w:val="center"/>
            </w:pPr>
            <w:r/>
            <w:r>
              <w:rPr>
                <w:rFonts w:ascii="Times New Roman" w:hAnsi="Times New Roman" w:eastAsia="Times New Roman"/>
                <w:b w:val="0"/>
                <w:i w:val="0"/>
                <w:sz w:val="18"/>
              </w:rPr>
              <w:t>0,913</w:t>
            </w:r>
          </w:p>
        </w:tc>
        <w:tc>
          <w:tcPr>
            <w:tcW w:type="dxa" w:w="3024"/>
          </w:tcPr>
          <w:p>
            <w:pPr>
              <w:spacing w:after="40" w:before="40"/>
              <w:jc w:val="center"/>
            </w:pPr>
            <w:r/>
            <w:r>
              <w:rPr>
                <w:rFonts w:ascii="Times New Roman" w:hAnsi="Times New Roman" w:eastAsia="Times New Roman"/>
                <w:b w:val="0"/>
                <w:i w:val="0"/>
                <w:sz w:val="18"/>
              </w:rPr>
              <w:t>BUANG (kolinier r≈0,91)</w:t>
            </w:r>
          </w:p>
        </w:tc>
      </w:tr>
      <w:tr>
        <w:tc>
          <w:tcPr>
            <w:tcW w:type="dxa" w:w="1728"/>
          </w:tcPr>
          <w:p>
            <w:pPr>
              <w:spacing w:after="40" w:before="40"/>
              <w:jc w:val="center"/>
            </w:pPr>
            <w:r/>
            <w:r>
              <w:rPr>
                <w:rFonts w:ascii="Times New Roman" w:hAnsi="Times New Roman" w:eastAsia="Times New Roman"/>
                <w:b w:val="0"/>
                <w:i w:val="0"/>
                <w:sz w:val="18"/>
              </w:rPr>
              <w:t>year</w:t>
            </w:r>
          </w:p>
        </w:tc>
        <w:tc>
          <w:tcPr>
            <w:tcW w:type="dxa" w:w="1296"/>
          </w:tcPr>
          <w:p>
            <w:pPr>
              <w:spacing w:after="40" w:before="40"/>
              <w:jc w:val="center"/>
            </w:pPr>
            <w:r/>
            <w:r>
              <w:rPr>
                <w:rFonts w:ascii="Times New Roman" w:hAnsi="Times New Roman" w:eastAsia="Times New Roman"/>
                <w:b w:val="0"/>
                <w:i w:val="0"/>
                <w:sz w:val="18"/>
              </w:rPr>
              <w:t>−0,068</w:t>
            </w:r>
          </w:p>
        </w:tc>
        <w:tc>
          <w:tcPr>
            <w:tcW w:type="dxa" w:w="1584"/>
          </w:tcPr>
          <w:p>
            <w:pPr>
              <w:spacing w:after="40" w:before="40"/>
              <w:jc w:val="center"/>
            </w:pPr>
            <w:r/>
            <w:r>
              <w:rPr>
                <w:rFonts w:ascii="Times New Roman" w:hAnsi="Times New Roman" w:eastAsia="Times New Roman"/>
                <w:b w:val="0"/>
                <w:i w:val="0"/>
                <w:sz w:val="18"/>
              </w:rPr>
              <w:t>engine_size</w:t>
            </w:r>
          </w:p>
        </w:tc>
        <w:tc>
          <w:tcPr>
            <w:tcW w:type="dxa" w:w="1440"/>
          </w:tcPr>
          <w:p>
            <w:pPr>
              <w:spacing w:after="40" w:before="40"/>
              <w:jc w:val="center"/>
            </w:pPr>
            <w:r/>
            <w:r>
              <w:rPr>
                <w:rFonts w:ascii="Times New Roman" w:hAnsi="Times New Roman" w:eastAsia="Times New Roman"/>
                <w:b w:val="0"/>
                <w:i w:val="0"/>
                <w:sz w:val="18"/>
              </w:rPr>
              <w:t>−0,078</w:t>
            </w:r>
          </w:p>
        </w:tc>
        <w:tc>
          <w:tcPr>
            <w:tcW w:type="dxa" w:w="3024"/>
          </w:tcPr>
          <w:p>
            <w:pPr>
              <w:spacing w:after="40" w:before="40"/>
              <w:jc w:val="center"/>
            </w:pPr>
            <w:r/>
            <w:r>
              <w:rPr>
                <w:rFonts w:ascii="Times New Roman" w:hAnsi="Times New Roman" w:eastAsia="Times New Roman"/>
                <w:b w:val="0"/>
                <w:i w:val="0"/>
                <w:sz w:val="18"/>
              </w:rPr>
              <w:t>BUANG (korelasi lemah)</w:t>
            </w:r>
          </w:p>
        </w:tc>
      </w:tr>
    </w:tbl>
    <w:p>
      <w:pPr>
        <w:spacing w:after="40"/>
      </w:pPr>
    </w:p>
    <w:p>
      <w:pPr>
        <w:spacing w:after="120" w:before="0" w:line="240" w:lineRule="auto"/>
        <w:ind w:firstLine="432"/>
        <w:jc w:val="both"/>
      </w:pPr>
      <w:r>
        <w:rPr>
          <w:rFonts w:ascii="Times New Roman" w:hAnsi="Times New Roman" w:eastAsia="Times New Roman"/>
          <w:b w:val="0"/>
          <w:i w:val="0"/>
          <w:sz w:val="20"/>
        </w:rPr>
        <w:t>Setelah Tahap 1, hanya ukuran mesin yang dipertahankan. Akibatnya, analisis menyusut menjadi regresi polinomial dengan satu prediktor dan ketiga kandidat model menyederhana sesuai definisi pada Subbab 3.3.</w:t>
      </w:r>
    </w:p>
    <w:p>
      <w:pPr>
        <w:spacing w:before="120" w:after="60"/>
      </w:pPr>
      <w:r>
        <w:rPr>
          <w:rFonts w:ascii="Times New Roman" w:hAnsi="Times New Roman" w:eastAsia="Times New Roman"/>
          <w:b/>
          <w:i/>
          <w:sz w:val="20"/>
        </w:rPr>
        <w:t>4.4 Fitting Model dan Pemilihan Orde Polinomial (Tahap 2–3)</w:t>
      </w:r>
    </w:p>
    <w:p>
      <w:pPr>
        <w:spacing w:after="120" w:before="0" w:line="240" w:lineRule="auto"/>
        <w:ind w:firstLine="432"/>
        <w:jc w:val="both"/>
      </w:pPr>
      <w:r>
        <w:rPr>
          <w:rFonts w:ascii="Times New Roman" w:hAnsi="Times New Roman" w:eastAsia="Times New Roman"/>
          <w:b w:val="0"/>
          <w:i w:val="0"/>
          <w:sz w:val="20"/>
        </w:rPr>
        <w:t>Tabel 4 membandingkan ketiga kandidat model pada subset pelatihan. R² naik secara monoton seiring penambahan suku, sebagaimana diharapkan, namun kenaikan dari M₂ ke M₃ jauh lebih kecil daripada dari M₁ ke M₂. AIC dan BIC sama-sama terendah pada M₃, mengisyaratkan bahwa kompleksitas tambahan masih terbayar.</w:t>
      </w:r>
    </w:p>
    <w:p>
      <w:pPr>
        <w:spacing w:before="160" w:after="60"/>
        <w:jc w:val="left"/>
      </w:pPr>
      <w:r>
        <w:rPr>
          <w:rFonts w:ascii="Times New Roman" w:hAnsi="Times New Roman" w:eastAsia="Times New Roman"/>
          <w:b w:val="0"/>
          <w:i w:val="0"/>
          <w:sz w:val="20"/>
        </w:rPr>
        <w:t>Tabel 4. Perbandingan kandidat model (data pelatihan, n = 18.044)</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left w:val="none" w:sz="0" w:space="0" w:color="auto"/>
          <w:right w:val="none" w:sz="0" w:space="0" w:color="auto"/>
          <w:insideV w:val="none" w:sz="0" w:space="0" w:color="auto"/>
        </w:tblBorders>
      </w:tblPr>
      <w:tblGrid>
        <w:gridCol w:w="1337"/>
        <w:gridCol w:w="1337"/>
        <w:gridCol w:w="1337"/>
        <w:gridCol w:w="1337"/>
        <w:gridCol w:w="1337"/>
        <w:gridCol w:w="1337"/>
        <w:gridCol w:w="1337"/>
      </w:tblGrid>
      <w:tr>
        <w:tc>
          <w:tcPr>
            <w:tcW w:type="dxa" w:w="1872"/>
          </w:tcPr>
          <w:p>
            <w:pPr>
              <w:spacing w:after="40" w:before="40"/>
              <w:jc w:val="center"/>
            </w:pPr>
            <w:r/>
            <w:r>
              <w:rPr>
                <w:rFonts w:ascii="Times New Roman" w:hAnsi="Times New Roman" w:eastAsia="Times New Roman"/>
                <w:b/>
                <w:i w:val="0"/>
                <w:sz w:val="18"/>
              </w:rPr>
              <w:t>Model</w:t>
            </w:r>
          </w:p>
        </w:tc>
        <w:tc>
          <w:tcPr>
            <w:tcW w:type="dxa" w:w="576"/>
          </w:tcPr>
          <w:p>
            <w:pPr>
              <w:spacing w:after="40" w:before="40"/>
              <w:jc w:val="center"/>
            </w:pPr>
            <w:r/>
            <w:r>
              <w:rPr>
                <w:rFonts w:ascii="Times New Roman" w:hAnsi="Times New Roman" w:eastAsia="Times New Roman"/>
                <w:b/>
                <w:i w:val="0"/>
                <w:sz w:val="18"/>
              </w:rPr>
              <w:t>k</w:t>
            </w:r>
          </w:p>
        </w:tc>
        <w:tc>
          <w:tcPr>
            <w:tcW w:type="dxa" w:w="1152"/>
          </w:tcPr>
          <w:p>
            <w:pPr>
              <w:spacing w:after="40" w:before="40"/>
              <w:jc w:val="center"/>
            </w:pPr>
            <w:r/>
            <w:r>
              <w:rPr>
                <w:rFonts w:ascii="Times New Roman" w:hAnsi="Times New Roman" w:eastAsia="Times New Roman"/>
                <w:b/>
                <w:i w:val="0"/>
                <w:sz w:val="18"/>
              </w:rPr>
              <w:t>R²</w:t>
            </w:r>
          </w:p>
        </w:tc>
        <w:tc>
          <w:tcPr>
            <w:tcW w:type="dxa" w:w="1152"/>
          </w:tcPr>
          <w:p>
            <w:pPr>
              <w:spacing w:after="40" w:before="40"/>
              <w:jc w:val="center"/>
            </w:pPr>
            <w:r/>
            <w:r>
              <w:rPr>
                <w:rFonts w:ascii="Times New Roman" w:hAnsi="Times New Roman" w:eastAsia="Times New Roman"/>
                <w:b/>
                <w:i w:val="0"/>
                <w:sz w:val="18"/>
              </w:rPr>
              <w:t>Adj R²</w:t>
            </w:r>
          </w:p>
        </w:tc>
        <w:tc>
          <w:tcPr>
            <w:tcW w:type="dxa" w:w="1440"/>
          </w:tcPr>
          <w:p>
            <w:pPr>
              <w:spacing w:after="40" w:before="40"/>
              <w:jc w:val="center"/>
            </w:pPr>
            <w:r/>
            <w:r>
              <w:rPr>
                <w:rFonts w:ascii="Times New Roman" w:hAnsi="Times New Roman" w:eastAsia="Times New Roman"/>
                <w:b/>
                <w:i w:val="0"/>
                <w:sz w:val="18"/>
              </w:rPr>
              <w:t>AIC</w:t>
            </w:r>
          </w:p>
        </w:tc>
        <w:tc>
          <w:tcPr>
            <w:tcW w:type="dxa" w:w="1440"/>
          </w:tcPr>
          <w:p>
            <w:pPr>
              <w:spacing w:after="40" w:before="40"/>
              <w:jc w:val="center"/>
            </w:pPr>
            <w:r/>
            <w:r>
              <w:rPr>
                <w:rFonts w:ascii="Times New Roman" w:hAnsi="Times New Roman" w:eastAsia="Times New Roman"/>
                <w:b/>
                <w:i w:val="0"/>
                <w:sz w:val="18"/>
              </w:rPr>
              <w:t>BIC</w:t>
            </w:r>
          </w:p>
        </w:tc>
        <w:tc>
          <w:tcPr>
            <w:tcW w:type="dxa" w:w="1440"/>
          </w:tcPr>
          <w:p>
            <w:pPr>
              <w:spacing w:after="40" w:before="40"/>
              <w:jc w:val="center"/>
            </w:pPr>
            <w:r/>
            <w:r>
              <w:rPr>
                <w:rFonts w:ascii="Times New Roman" w:hAnsi="Times New Roman" w:eastAsia="Times New Roman"/>
                <w:b/>
                <w:i w:val="0"/>
                <w:sz w:val="18"/>
              </w:rPr>
              <w:t>RSS</w:t>
            </w:r>
          </w:p>
        </w:tc>
      </w:tr>
      <w:tr>
        <w:tc>
          <w:tcPr>
            <w:tcW w:type="dxa" w:w="1872"/>
          </w:tcPr>
          <w:p>
            <w:pPr>
              <w:spacing w:after="40" w:before="40"/>
              <w:jc w:val="center"/>
            </w:pPr>
            <w:r/>
            <w:r>
              <w:rPr>
                <w:rFonts w:ascii="Times New Roman" w:hAnsi="Times New Roman" w:eastAsia="Times New Roman"/>
                <w:b w:val="0"/>
                <w:i w:val="0"/>
                <w:sz w:val="18"/>
              </w:rPr>
              <w:t>M₁ linear</w:t>
            </w:r>
          </w:p>
        </w:tc>
        <w:tc>
          <w:tcPr>
            <w:tcW w:type="dxa" w:w="576"/>
          </w:tcPr>
          <w:p>
            <w:pPr>
              <w:spacing w:after="40" w:before="40"/>
              <w:jc w:val="center"/>
            </w:pPr>
            <w:r/>
            <w:r>
              <w:rPr>
                <w:rFonts w:ascii="Times New Roman" w:hAnsi="Times New Roman" w:eastAsia="Times New Roman"/>
                <w:b w:val="0"/>
                <w:i w:val="0"/>
                <w:sz w:val="18"/>
              </w:rPr>
              <w:t>2</w:t>
            </w:r>
          </w:p>
        </w:tc>
        <w:tc>
          <w:tcPr>
            <w:tcW w:type="dxa" w:w="1152"/>
          </w:tcPr>
          <w:p>
            <w:pPr>
              <w:spacing w:after="40" w:before="40"/>
              <w:jc w:val="center"/>
            </w:pPr>
            <w:r/>
            <w:r>
              <w:rPr>
                <w:rFonts w:ascii="Times New Roman" w:hAnsi="Times New Roman" w:eastAsia="Times New Roman"/>
                <w:b w:val="0"/>
                <w:i w:val="0"/>
                <w:sz w:val="18"/>
              </w:rPr>
              <w:t>0,6511</w:t>
            </w:r>
          </w:p>
        </w:tc>
        <w:tc>
          <w:tcPr>
            <w:tcW w:type="dxa" w:w="1152"/>
          </w:tcPr>
          <w:p>
            <w:pPr>
              <w:spacing w:after="40" w:before="40"/>
              <w:jc w:val="center"/>
            </w:pPr>
            <w:r/>
            <w:r>
              <w:rPr>
                <w:rFonts w:ascii="Times New Roman" w:hAnsi="Times New Roman" w:eastAsia="Times New Roman"/>
                <w:b w:val="0"/>
                <w:i w:val="0"/>
                <w:sz w:val="18"/>
              </w:rPr>
              <w:t>0,6511</w:t>
            </w:r>
          </w:p>
        </w:tc>
        <w:tc>
          <w:tcPr>
            <w:tcW w:type="dxa" w:w="1440"/>
          </w:tcPr>
          <w:p>
            <w:pPr>
              <w:spacing w:after="40" w:before="40"/>
              <w:jc w:val="center"/>
            </w:pPr>
            <w:r/>
            <w:r>
              <w:rPr>
                <w:rFonts w:ascii="Times New Roman" w:hAnsi="Times New Roman" w:eastAsia="Times New Roman"/>
                <w:b w:val="0"/>
                <w:i w:val="0"/>
                <w:sz w:val="18"/>
              </w:rPr>
              <w:t>70632,6</w:t>
            </w:r>
          </w:p>
        </w:tc>
        <w:tc>
          <w:tcPr>
            <w:tcW w:type="dxa" w:w="1440"/>
          </w:tcPr>
          <w:p>
            <w:pPr>
              <w:spacing w:after="40" w:before="40"/>
              <w:jc w:val="center"/>
            </w:pPr>
            <w:r/>
            <w:r>
              <w:rPr>
                <w:rFonts w:ascii="Times New Roman" w:hAnsi="Times New Roman" w:eastAsia="Times New Roman"/>
                <w:b w:val="0"/>
                <w:i w:val="0"/>
                <w:sz w:val="18"/>
              </w:rPr>
              <w:t>70648,2</w:t>
            </w:r>
          </w:p>
        </w:tc>
        <w:tc>
          <w:tcPr>
            <w:tcW w:type="dxa" w:w="1440"/>
          </w:tcPr>
          <w:p>
            <w:pPr>
              <w:spacing w:after="40" w:before="40"/>
              <w:jc w:val="center"/>
            </w:pPr>
            <w:r/>
            <w:r>
              <w:rPr>
                <w:rFonts w:ascii="Times New Roman" w:hAnsi="Times New Roman" w:eastAsia="Times New Roman"/>
                <w:b w:val="0"/>
                <w:i w:val="0"/>
                <w:sz w:val="18"/>
              </w:rPr>
              <w:t>52941,1</w:t>
            </w:r>
          </w:p>
        </w:tc>
      </w:tr>
      <w:tr>
        <w:tc>
          <w:tcPr>
            <w:tcW w:type="dxa" w:w="1872"/>
          </w:tcPr>
          <w:p>
            <w:pPr>
              <w:spacing w:after="40" w:before="40"/>
              <w:jc w:val="center"/>
            </w:pPr>
            <w:r/>
            <w:r>
              <w:rPr>
                <w:rFonts w:ascii="Times New Roman" w:hAnsi="Times New Roman" w:eastAsia="Times New Roman"/>
                <w:b w:val="0"/>
                <w:i w:val="0"/>
                <w:sz w:val="18"/>
              </w:rPr>
              <w:t>M₂ kuadratik</w:t>
            </w:r>
          </w:p>
        </w:tc>
        <w:tc>
          <w:tcPr>
            <w:tcW w:type="dxa" w:w="576"/>
          </w:tcPr>
          <w:p>
            <w:pPr>
              <w:spacing w:after="40" w:before="40"/>
              <w:jc w:val="center"/>
            </w:pPr>
            <w:r/>
            <w:r>
              <w:rPr>
                <w:rFonts w:ascii="Times New Roman" w:hAnsi="Times New Roman" w:eastAsia="Times New Roman"/>
                <w:b w:val="0"/>
                <w:i w:val="0"/>
                <w:sz w:val="18"/>
              </w:rPr>
              <w:t>3</w:t>
            </w:r>
          </w:p>
        </w:tc>
        <w:tc>
          <w:tcPr>
            <w:tcW w:type="dxa" w:w="1152"/>
          </w:tcPr>
          <w:p>
            <w:pPr>
              <w:spacing w:after="40" w:before="40"/>
              <w:jc w:val="center"/>
            </w:pPr>
            <w:r/>
            <w:r>
              <w:rPr>
                <w:rFonts w:ascii="Times New Roman" w:hAnsi="Times New Roman" w:eastAsia="Times New Roman"/>
                <w:b w:val="0"/>
                <w:i w:val="0"/>
                <w:sz w:val="18"/>
              </w:rPr>
              <w:t>0,6565</w:t>
            </w:r>
          </w:p>
        </w:tc>
        <w:tc>
          <w:tcPr>
            <w:tcW w:type="dxa" w:w="1152"/>
          </w:tcPr>
          <w:p>
            <w:pPr>
              <w:spacing w:after="40" w:before="40"/>
              <w:jc w:val="center"/>
            </w:pPr>
            <w:r/>
            <w:r>
              <w:rPr>
                <w:rFonts w:ascii="Times New Roman" w:hAnsi="Times New Roman" w:eastAsia="Times New Roman"/>
                <w:b w:val="0"/>
                <w:i w:val="0"/>
                <w:sz w:val="18"/>
              </w:rPr>
              <w:t>0,6565</w:t>
            </w:r>
          </w:p>
        </w:tc>
        <w:tc>
          <w:tcPr>
            <w:tcW w:type="dxa" w:w="1440"/>
          </w:tcPr>
          <w:p>
            <w:pPr>
              <w:spacing w:after="40" w:before="40"/>
              <w:jc w:val="center"/>
            </w:pPr>
            <w:r/>
            <w:r>
              <w:rPr>
                <w:rFonts w:ascii="Times New Roman" w:hAnsi="Times New Roman" w:eastAsia="Times New Roman"/>
                <w:b w:val="0"/>
                <w:i w:val="0"/>
                <w:sz w:val="18"/>
              </w:rPr>
              <w:t>70353,8</w:t>
            </w:r>
          </w:p>
        </w:tc>
        <w:tc>
          <w:tcPr>
            <w:tcW w:type="dxa" w:w="1440"/>
          </w:tcPr>
          <w:p>
            <w:pPr>
              <w:spacing w:after="40" w:before="40"/>
              <w:jc w:val="center"/>
            </w:pPr>
            <w:r/>
            <w:r>
              <w:rPr>
                <w:rFonts w:ascii="Times New Roman" w:hAnsi="Times New Roman" w:eastAsia="Times New Roman"/>
                <w:b w:val="0"/>
                <w:i w:val="0"/>
                <w:sz w:val="18"/>
              </w:rPr>
              <w:t>70377,2</w:t>
            </w:r>
          </w:p>
        </w:tc>
        <w:tc>
          <w:tcPr>
            <w:tcW w:type="dxa" w:w="1440"/>
          </w:tcPr>
          <w:p>
            <w:pPr>
              <w:spacing w:after="40" w:before="40"/>
              <w:jc w:val="center"/>
            </w:pPr>
            <w:r/>
            <w:r>
              <w:rPr>
                <w:rFonts w:ascii="Times New Roman" w:hAnsi="Times New Roman" w:eastAsia="Times New Roman"/>
                <w:b w:val="0"/>
                <w:i w:val="0"/>
                <w:sz w:val="18"/>
              </w:rPr>
              <w:t>52123,4</w:t>
            </w:r>
          </w:p>
        </w:tc>
      </w:tr>
      <w:tr>
        <w:tc>
          <w:tcPr>
            <w:tcW w:type="dxa" w:w="1872"/>
          </w:tcPr>
          <w:p>
            <w:pPr>
              <w:spacing w:after="40" w:before="40"/>
              <w:jc w:val="center"/>
            </w:pPr>
            <w:r/>
            <w:r>
              <w:rPr>
                <w:rFonts w:ascii="Times New Roman" w:hAnsi="Times New Roman" w:eastAsia="Times New Roman"/>
                <w:b w:val="0"/>
                <w:i w:val="0"/>
                <w:sz w:val="18"/>
              </w:rPr>
              <w:t>M₃ kubik</w:t>
            </w:r>
          </w:p>
        </w:tc>
        <w:tc>
          <w:tcPr>
            <w:tcW w:type="dxa" w:w="576"/>
          </w:tcPr>
          <w:p>
            <w:pPr>
              <w:spacing w:after="40" w:before="40"/>
              <w:jc w:val="center"/>
            </w:pPr>
            <w:r/>
            <w:r>
              <w:rPr>
                <w:rFonts w:ascii="Times New Roman" w:hAnsi="Times New Roman" w:eastAsia="Times New Roman"/>
                <w:b w:val="0"/>
                <w:i w:val="0"/>
                <w:sz w:val="18"/>
              </w:rPr>
              <w:t>4</w:t>
            </w:r>
          </w:p>
        </w:tc>
        <w:tc>
          <w:tcPr>
            <w:tcW w:type="dxa" w:w="1152"/>
          </w:tcPr>
          <w:p>
            <w:pPr>
              <w:spacing w:after="40" w:before="40"/>
              <w:jc w:val="center"/>
            </w:pPr>
            <w:r/>
            <w:r>
              <w:rPr>
                <w:rFonts w:ascii="Times New Roman" w:hAnsi="Times New Roman" w:eastAsia="Times New Roman"/>
                <w:b w:val="0"/>
                <w:i w:val="0"/>
                <w:sz w:val="18"/>
              </w:rPr>
              <w:t>0,6570</w:t>
            </w:r>
          </w:p>
        </w:tc>
        <w:tc>
          <w:tcPr>
            <w:tcW w:type="dxa" w:w="1152"/>
          </w:tcPr>
          <w:p>
            <w:pPr>
              <w:spacing w:after="40" w:before="40"/>
              <w:jc w:val="center"/>
            </w:pPr>
            <w:r/>
            <w:r>
              <w:rPr>
                <w:rFonts w:ascii="Times New Roman" w:hAnsi="Times New Roman" w:eastAsia="Times New Roman"/>
                <w:b w:val="0"/>
                <w:i w:val="0"/>
                <w:sz w:val="18"/>
              </w:rPr>
              <w:t>0,6569</w:t>
            </w:r>
          </w:p>
        </w:tc>
        <w:tc>
          <w:tcPr>
            <w:tcW w:type="dxa" w:w="1440"/>
          </w:tcPr>
          <w:p>
            <w:pPr>
              <w:spacing w:after="40" w:before="40"/>
              <w:jc w:val="center"/>
            </w:pPr>
            <w:r/>
            <w:r>
              <w:rPr>
                <w:rFonts w:ascii="Times New Roman" w:hAnsi="Times New Roman" w:eastAsia="Times New Roman"/>
                <w:b w:val="0"/>
                <w:i w:val="0"/>
                <w:sz w:val="18"/>
              </w:rPr>
              <w:t>70329,9</w:t>
            </w:r>
          </w:p>
        </w:tc>
        <w:tc>
          <w:tcPr>
            <w:tcW w:type="dxa" w:w="1440"/>
          </w:tcPr>
          <w:p>
            <w:pPr>
              <w:spacing w:after="40" w:before="40"/>
              <w:jc w:val="center"/>
            </w:pPr>
            <w:r/>
            <w:r>
              <w:rPr>
                <w:rFonts w:ascii="Times New Roman" w:hAnsi="Times New Roman" w:eastAsia="Times New Roman"/>
                <w:b w:val="0"/>
                <w:i w:val="0"/>
                <w:sz w:val="18"/>
              </w:rPr>
              <w:t>70361,1</w:t>
            </w:r>
          </w:p>
        </w:tc>
        <w:tc>
          <w:tcPr>
            <w:tcW w:type="dxa" w:w="1440"/>
          </w:tcPr>
          <w:p>
            <w:pPr>
              <w:spacing w:after="40" w:before="40"/>
              <w:jc w:val="center"/>
            </w:pPr>
            <w:r/>
            <w:r>
              <w:rPr>
                <w:rFonts w:ascii="Times New Roman" w:hAnsi="Times New Roman" w:eastAsia="Times New Roman"/>
                <w:b w:val="0"/>
                <w:i w:val="0"/>
                <w:sz w:val="18"/>
              </w:rPr>
              <w:t>52048,9</w:t>
            </w:r>
          </w:p>
        </w:tc>
      </w:tr>
    </w:tbl>
    <w:p>
      <w:pPr>
        <w:spacing w:after="40"/>
      </w:pPr>
    </w:p>
    <w:p>
      <w:pPr>
        <w:spacing w:after="120" w:before="0" w:line="240" w:lineRule="auto"/>
        <w:ind w:firstLine="432"/>
        <w:jc w:val="both"/>
      </w:pPr>
      <w:r>
        <w:rPr>
          <w:rFonts w:ascii="Times New Roman" w:hAnsi="Times New Roman" w:eastAsia="Times New Roman"/>
          <w:b w:val="0"/>
          <w:i w:val="0"/>
          <w:sz w:val="20"/>
        </w:rPr>
        <w:t>Keputusan formal diambil melalui dua Nested F-Test yang dirangkum pada Tabel 5. Pada Tahap 2, penambahan suku kuadratik menghasilkan F = 283,0 dengan p ≈ 5,0 × 10⁻⁶³, sehingga H₀ ditolak dan spesifikasi kuadratik lebih disukai daripada linear. Karena Tahap 2 menolak H₀, Tahap 3 dijalankan. Penambahan suku kubik menghasilkan F = 25,8 dengan p ≈ 3,7 × 10⁻⁷, sehingga H₀ kembali ditolak. Dengan demikian, model kubik (M₃) terpilih sebagai model final.</w:t>
      </w:r>
    </w:p>
    <w:p>
      <w:pPr>
        <w:spacing w:before="160" w:after="60"/>
        <w:jc w:val="left"/>
      </w:pPr>
      <w:r>
        <w:rPr>
          <w:rFonts w:ascii="Times New Roman" w:hAnsi="Times New Roman" w:eastAsia="Times New Roman"/>
          <w:b w:val="0"/>
          <w:i w:val="0"/>
          <w:sz w:val="20"/>
        </w:rPr>
        <w:t>Tabel 5. Ringkasan Nested F-Test (Tahap 2 dan 3)</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left w:val="none" w:sz="0" w:space="0" w:color="auto"/>
          <w:right w:val="none" w:sz="0" w:space="0" w:color="auto"/>
          <w:insideV w:val="none" w:sz="0" w:space="0" w:color="auto"/>
        </w:tblBorders>
      </w:tblPr>
      <w:tblGrid>
        <w:gridCol w:w="1560"/>
        <w:gridCol w:w="1560"/>
        <w:gridCol w:w="1560"/>
        <w:gridCol w:w="1560"/>
        <w:gridCol w:w="1560"/>
        <w:gridCol w:w="1560"/>
      </w:tblGrid>
      <w:tr>
        <w:tc>
          <w:tcPr>
            <w:tcW w:type="dxa" w:w="2448"/>
          </w:tcPr>
          <w:p>
            <w:pPr>
              <w:spacing w:after="40" w:before="40"/>
              <w:jc w:val="center"/>
            </w:pPr>
            <w:r/>
            <w:r>
              <w:rPr>
                <w:rFonts w:ascii="Times New Roman" w:hAnsi="Times New Roman" w:eastAsia="Times New Roman"/>
                <w:b/>
                <w:i w:val="0"/>
                <w:sz w:val="18"/>
              </w:rPr>
              <w:t>Perbandingan</w:t>
            </w:r>
          </w:p>
        </w:tc>
        <w:tc>
          <w:tcPr>
            <w:tcW w:type="dxa" w:w="1296"/>
          </w:tcPr>
          <w:p>
            <w:pPr>
              <w:spacing w:after="40" w:before="40"/>
              <w:jc w:val="center"/>
            </w:pPr>
            <w:r/>
            <w:r>
              <w:rPr>
                <w:rFonts w:ascii="Times New Roman" w:hAnsi="Times New Roman" w:eastAsia="Times New Roman"/>
                <w:b/>
                <w:i w:val="0"/>
                <w:sz w:val="18"/>
              </w:rPr>
              <w:t>ΔRSS</w:t>
            </w:r>
          </w:p>
        </w:tc>
        <w:tc>
          <w:tcPr>
            <w:tcW w:type="dxa" w:w="576"/>
          </w:tcPr>
          <w:p>
            <w:pPr>
              <w:spacing w:after="40" w:before="40"/>
              <w:jc w:val="center"/>
            </w:pPr>
            <w:r/>
            <w:r>
              <w:rPr>
                <w:rFonts w:ascii="Times New Roman" w:hAnsi="Times New Roman" w:eastAsia="Times New Roman"/>
                <w:b/>
                <w:i w:val="0"/>
                <w:sz w:val="18"/>
              </w:rPr>
              <w:t>df</w:t>
            </w:r>
          </w:p>
        </w:tc>
        <w:tc>
          <w:tcPr>
            <w:tcW w:type="dxa" w:w="1008"/>
          </w:tcPr>
          <w:p>
            <w:pPr>
              <w:spacing w:after="40" w:before="40"/>
              <w:jc w:val="center"/>
            </w:pPr>
            <w:r/>
            <w:r>
              <w:rPr>
                <w:rFonts w:ascii="Times New Roman" w:hAnsi="Times New Roman" w:eastAsia="Times New Roman"/>
                <w:b/>
                <w:i w:val="0"/>
                <w:sz w:val="18"/>
              </w:rPr>
              <w:t>F</w:t>
            </w:r>
          </w:p>
        </w:tc>
        <w:tc>
          <w:tcPr>
            <w:tcW w:type="dxa" w:w="1728"/>
          </w:tcPr>
          <w:p>
            <w:pPr>
              <w:spacing w:after="40" w:before="40"/>
              <w:jc w:val="center"/>
            </w:pPr>
            <w:r/>
            <w:r>
              <w:rPr>
                <w:rFonts w:ascii="Times New Roman" w:hAnsi="Times New Roman" w:eastAsia="Times New Roman"/>
                <w:b/>
                <w:i w:val="0"/>
                <w:sz w:val="18"/>
              </w:rPr>
              <w:t>p-value</w:t>
            </w:r>
          </w:p>
        </w:tc>
        <w:tc>
          <w:tcPr>
            <w:tcW w:type="dxa" w:w="1584"/>
          </w:tcPr>
          <w:p>
            <w:pPr>
              <w:spacing w:after="40" w:before="40"/>
              <w:jc w:val="center"/>
            </w:pPr>
            <w:r/>
            <w:r>
              <w:rPr>
                <w:rFonts w:ascii="Times New Roman" w:hAnsi="Times New Roman" w:eastAsia="Times New Roman"/>
                <w:b/>
                <w:i w:val="0"/>
                <w:sz w:val="18"/>
              </w:rPr>
              <w:t>Keputusan</w:t>
            </w:r>
          </w:p>
        </w:tc>
      </w:tr>
      <w:tr>
        <w:tc>
          <w:tcPr>
            <w:tcW w:type="dxa" w:w="2448"/>
          </w:tcPr>
          <w:p>
            <w:pPr>
              <w:spacing w:after="40" w:before="40"/>
              <w:jc w:val="center"/>
            </w:pPr>
            <w:r/>
            <w:r>
              <w:rPr>
                <w:rFonts w:ascii="Times New Roman" w:hAnsi="Times New Roman" w:eastAsia="Times New Roman"/>
                <w:b w:val="0"/>
                <w:i w:val="0"/>
                <w:sz w:val="18"/>
              </w:rPr>
              <w:t>M₁ → M₂ (Tahap 2)</w:t>
            </w:r>
          </w:p>
        </w:tc>
        <w:tc>
          <w:tcPr>
            <w:tcW w:type="dxa" w:w="1296"/>
          </w:tcPr>
          <w:p>
            <w:pPr>
              <w:spacing w:after="40" w:before="40"/>
              <w:jc w:val="center"/>
            </w:pPr>
            <w:r/>
            <w:r>
              <w:rPr>
                <w:rFonts w:ascii="Times New Roman" w:hAnsi="Times New Roman" w:eastAsia="Times New Roman"/>
                <w:b w:val="0"/>
                <w:i w:val="0"/>
                <w:sz w:val="18"/>
              </w:rPr>
              <w:t>817,65</w:t>
            </w:r>
          </w:p>
        </w:tc>
        <w:tc>
          <w:tcPr>
            <w:tcW w:type="dxa" w:w="576"/>
          </w:tcPr>
          <w:p>
            <w:pPr>
              <w:spacing w:after="40" w:before="40"/>
              <w:jc w:val="center"/>
            </w:pPr>
            <w:r/>
            <w:r>
              <w:rPr>
                <w:rFonts w:ascii="Times New Roman" w:hAnsi="Times New Roman" w:eastAsia="Times New Roman"/>
                <w:b w:val="0"/>
                <w:i w:val="0"/>
                <w:sz w:val="18"/>
              </w:rPr>
              <w:t>1</w:t>
            </w:r>
          </w:p>
        </w:tc>
        <w:tc>
          <w:tcPr>
            <w:tcW w:type="dxa" w:w="1008"/>
          </w:tcPr>
          <w:p>
            <w:pPr>
              <w:spacing w:after="40" w:before="40"/>
              <w:jc w:val="center"/>
            </w:pPr>
            <w:r/>
            <w:r>
              <w:rPr>
                <w:rFonts w:ascii="Times New Roman" w:hAnsi="Times New Roman" w:eastAsia="Times New Roman"/>
                <w:b w:val="0"/>
                <w:i w:val="0"/>
                <w:sz w:val="18"/>
              </w:rPr>
              <w:t>283,0</w:t>
            </w:r>
          </w:p>
        </w:tc>
        <w:tc>
          <w:tcPr>
            <w:tcW w:type="dxa" w:w="1728"/>
          </w:tcPr>
          <w:p>
            <w:pPr>
              <w:spacing w:after="40" w:before="40"/>
              <w:jc w:val="center"/>
            </w:pPr>
            <w:r/>
            <w:r>
              <w:rPr>
                <w:rFonts w:ascii="Times New Roman" w:hAnsi="Times New Roman" w:eastAsia="Times New Roman"/>
                <w:b w:val="0"/>
                <w:i w:val="0"/>
                <w:sz w:val="18"/>
              </w:rPr>
              <w:t>5,0 × 10⁻⁶³</w:t>
            </w:r>
          </w:p>
        </w:tc>
        <w:tc>
          <w:tcPr>
            <w:tcW w:type="dxa" w:w="1584"/>
          </w:tcPr>
          <w:p>
            <w:pPr>
              <w:spacing w:after="40" w:before="40"/>
              <w:jc w:val="center"/>
            </w:pPr>
            <w:r/>
            <w:r>
              <w:rPr>
                <w:rFonts w:ascii="Times New Roman" w:hAnsi="Times New Roman" w:eastAsia="Times New Roman"/>
                <w:b w:val="0"/>
                <w:i w:val="0"/>
                <w:sz w:val="18"/>
              </w:rPr>
              <w:t>Tolak H₀</w:t>
            </w:r>
          </w:p>
        </w:tc>
      </w:tr>
      <w:tr>
        <w:tc>
          <w:tcPr>
            <w:tcW w:type="dxa" w:w="2448"/>
          </w:tcPr>
          <w:p>
            <w:pPr>
              <w:spacing w:after="40" w:before="40"/>
              <w:jc w:val="center"/>
            </w:pPr>
            <w:r/>
            <w:r>
              <w:rPr>
                <w:rFonts w:ascii="Times New Roman" w:hAnsi="Times New Roman" w:eastAsia="Times New Roman"/>
                <w:b w:val="0"/>
                <w:i w:val="0"/>
                <w:sz w:val="18"/>
              </w:rPr>
              <w:t>M₂ → M₃ (Tahap 3)</w:t>
            </w:r>
          </w:p>
        </w:tc>
        <w:tc>
          <w:tcPr>
            <w:tcW w:type="dxa" w:w="1296"/>
          </w:tcPr>
          <w:p>
            <w:pPr>
              <w:spacing w:after="40" w:before="40"/>
              <w:jc w:val="center"/>
            </w:pPr>
            <w:r/>
            <w:r>
              <w:rPr>
                <w:rFonts w:ascii="Times New Roman" w:hAnsi="Times New Roman" w:eastAsia="Times New Roman"/>
                <w:b w:val="0"/>
                <w:i w:val="0"/>
                <w:sz w:val="18"/>
              </w:rPr>
              <w:t>74,56</w:t>
            </w:r>
          </w:p>
        </w:tc>
        <w:tc>
          <w:tcPr>
            <w:tcW w:type="dxa" w:w="576"/>
          </w:tcPr>
          <w:p>
            <w:pPr>
              <w:spacing w:after="40" w:before="40"/>
              <w:jc w:val="center"/>
            </w:pPr>
            <w:r/>
            <w:r>
              <w:rPr>
                <w:rFonts w:ascii="Times New Roman" w:hAnsi="Times New Roman" w:eastAsia="Times New Roman"/>
                <w:b w:val="0"/>
                <w:i w:val="0"/>
                <w:sz w:val="18"/>
              </w:rPr>
              <w:t>1</w:t>
            </w:r>
          </w:p>
        </w:tc>
        <w:tc>
          <w:tcPr>
            <w:tcW w:type="dxa" w:w="1008"/>
          </w:tcPr>
          <w:p>
            <w:pPr>
              <w:spacing w:after="40" w:before="40"/>
              <w:jc w:val="center"/>
            </w:pPr>
            <w:r/>
            <w:r>
              <w:rPr>
                <w:rFonts w:ascii="Times New Roman" w:hAnsi="Times New Roman" w:eastAsia="Times New Roman"/>
                <w:b w:val="0"/>
                <w:i w:val="0"/>
                <w:sz w:val="18"/>
              </w:rPr>
              <w:t>25,8</w:t>
            </w:r>
          </w:p>
        </w:tc>
        <w:tc>
          <w:tcPr>
            <w:tcW w:type="dxa" w:w="1728"/>
          </w:tcPr>
          <w:p>
            <w:pPr>
              <w:spacing w:after="40" w:before="40"/>
              <w:jc w:val="center"/>
            </w:pPr>
            <w:r/>
            <w:r>
              <w:rPr>
                <w:rFonts w:ascii="Times New Roman" w:hAnsi="Times New Roman" w:eastAsia="Times New Roman"/>
                <w:b w:val="0"/>
                <w:i w:val="0"/>
                <w:sz w:val="18"/>
              </w:rPr>
              <w:t>3,7 × 10⁻⁷</w:t>
            </w:r>
          </w:p>
        </w:tc>
        <w:tc>
          <w:tcPr>
            <w:tcW w:type="dxa" w:w="1584"/>
          </w:tcPr>
          <w:p>
            <w:pPr>
              <w:spacing w:after="40" w:before="40"/>
              <w:jc w:val="center"/>
            </w:pPr>
            <w:r/>
            <w:r>
              <w:rPr>
                <w:rFonts w:ascii="Times New Roman" w:hAnsi="Times New Roman" w:eastAsia="Times New Roman"/>
                <w:b w:val="0"/>
                <w:i w:val="0"/>
                <w:sz w:val="18"/>
              </w:rPr>
              <w:t>Tolak H₀</w:t>
            </w:r>
          </w:p>
        </w:tc>
      </w:tr>
    </w:tbl>
    <w:p>
      <w:pPr>
        <w:spacing w:after="40"/>
      </w:pPr>
    </w:p>
    <w:p>
      <w:pPr>
        <w:spacing w:after="120" w:before="0" w:line="240" w:lineRule="auto"/>
        <w:ind w:firstLine="432"/>
        <w:jc w:val="both"/>
      </w:pPr>
      <w:r>
        <w:rPr>
          <w:rFonts w:ascii="Times New Roman" w:hAnsi="Times New Roman" w:eastAsia="Times New Roman"/>
          <w:b w:val="0"/>
          <w:i w:val="0"/>
          <w:sz w:val="20"/>
        </w:rPr>
        <w:t>Gambar 3 menumpangkan ketiga kurva polinomial pada data pelatihan. Kurva kubik terpilih (garis tebal) mengikuti pusat awan titik di sepanjang rentang ukuran mesin: naik tajam pada mesin kecil lalu melandai pada mesin besar. Perbedaan yang jelas antara kurva linear dan kurva orde lebih tinggi mengonfirmasi bahwa kelengkungan memang penting, konsisten dengan hasil Nested F-Test.</w:t>
      </w:r>
    </w:p>
    <w:p>
      <w:pPr>
        <w:spacing w:before="120"/>
        <w:jc w:val="center"/>
      </w:pPr>
      <w:r>
        <w:drawing>
          <wp:inline xmlns:a="http://schemas.openxmlformats.org/drawingml/2006/main" xmlns:pic="http://schemas.openxmlformats.org/drawingml/2006/picture">
            <wp:extent cx="4937760" cy="2930540"/>
            <wp:docPr id="3" name="Picture 3"/>
            <wp:cNvGraphicFramePr>
              <a:graphicFrameLocks noChangeAspect="1"/>
            </wp:cNvGraphicFramePr>
            <a:graphic>
              <a:graphicData uri="http://schemas.openxmlformats.org/drawingml/2006/picture">
                <pic:pic>
                  <pic:nvPicPr>
                    <pic:cNvPr id="0" name="cell60_img6.png"/>
                    <pic:cNvPicPr/>
                  </pic:nvPicPr>
                  <pic:blipFill>
                    <a:blip r:embed="rId11"/>
                    <a:stretch>
                      <a:fillRect/>
                    </a:stretch>
                  </pic:blipFill>
                  <pic:spPr>
                    <a:xfrm>
                      <a:off x="0" y="0"/>
                      <a:ext cx="4937760" cy="2930540"/>
                    </a:xfrm>
                    <a:prstGeom prst="rect"/>
                  </pic:spPr>
                </pic:pic>
              </a:graphicData>
            </a:graphic>
          </wp:inline>
        </w:drawing>
      </w:r>
    </w:p>
    <w:p>
      <w:pPr>
        <w:spacing w:after="160"/>
        <w:jc w:val="center"/>
      </w:pPr>
      <w:r>
        <w:rPr>
          <w:rFonts w:ascii="Times New Roman" w:hAnsi="Times New Roman" w:eastAsia="Times New Roman"/>
          <w:b w:val="0"/>
          <w:i w:val="0"/>
          <w:sz w:val="18"/>
        </w:rPr>
        <w:t>Gambar 3. Ukuran mesin terhadap konsumsi bahan bakar gabungan dengan kurva polinomial M₁, M₂, dan M₃. Kurva kubik terpilih digambar tebal.</w:t>
      </w:r>
    </w:p>
    <w:p>
      <w:pPr>
        <w:spacing w:before="120" w:after="60"/>
      </w:pPr>
      <w:r>
        <w:rPr>
          <w:rFonts w:ascii="Times New Roman" w:hAnsi="Times New Roman" w:eastAsia="Times New Roman"/>
          <w:b/>
          <w:i/>
          <w:sz w:val="20"/>
        </w:rPr>
        <w:t>4.5 Model Final dan Interpretasi Koefisien</w:t>
      </w:r>
    </w:p>
    <w:p>
      <w:pPr>
        <w:spacing w:after="120" w:before="0" w:line="240" w:lineRule="auto"/>
        <w:ind w:firstLine="432"/>
        <w:jc w:val="both"/>
      </w:pPr>
      <w:r>
        <w:rPr>
          <w:rFonts w:ascii="Times New Roman" w:hAnsi="Times New Roman" w:eastAsia="Times New Roman"/>
          <w:b w:val="0"/>
          <w:i w:val="0"/>
          <w:sz w:val="20"/>
        </w:rPr>
        <w:t>Tabel 6 menyajikan koefisien model kubik final beserta standard error, statistik t, p-value, dan selang kepercayaan 95%. Seluruh koefisien polinomial berbeda nyata dari nol pada α = 0,05. Tanda koefisien menghasilkan kurva yang naik lalu melandai pada rentang ukuran mesin teramati, yaitu wujud pola diminishing returns yang diprediksi secara fisik. Intercept tidak diinterpretasikan langsung karena merepresentasikan prediksi pada ukuran mesin nol, suatu nilai di luar domain data.</w:t>
      </w:r>
    </w:p>
    <w:p>
      <w:pPr>
        <w:spacing w:before="160" w:after="60"/>
        <w:jc w:val="left"/>
      </w:pPr>
      <w:r>
        <w:rPr>
          <w:rFonts w:ascii="Times New Roman" w:hAnsi="Times New Roman" w:eastAsia="Times New Roman"/>
          <w:b w:val="0"/>
          <w:i w:val="0"/>
          <w:sz w:val="20"/>
        </w:rPr>
        <w:t>Tabel 6. Koefisien model final M₃ (kubik)</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left w:val="none" w:sz="0" w:space="0" w:color="auto"/>
          <w:right w:val="none" w:sz="0" w:space="0" w:color="auto"/>
          <w:insideV w:val="none" w:sz="0" w:space="0" w:color="auto"/>
        </w:tblBorders>
      </w:tblPr>
      <w:tblGrid>
        <w:gridCol w:w="1560"/>
        <w:gridCol w:w="1560"/>
        <w:gridCol w:w="1560"/>
        <w:gridCol w:w="1560"/>
        <w:gridCol w:w="1560"/>
        <w:gridCol w:w="1560"/>
      </w:tblGrid>
      <w:tr>
        <w:tc>
          <w:tcPr>
            <w:tcW w:type="dxa" w:w="1872"/>
          </w:tcPr>
          <w:p>
            <w:pPr>
              <w:spacing w:after="40" w:before="40"/>
              <w:jc w:val="center"/>
            </w:pPr>
            <w:r/>
            <w:r>
              <w:rPr>
                <w:rFonts w:ascii="Times New Roman" w:hAnsi="Times New Roman" w:eastAsia="Times New Roman"/>
                <w:b/>
                <w:i w:val="0"/>
                <w:sz w:val="18"/>
              </w:rPr>
              <w:t>Suku</w:t>
            </w:r>
          </w:p>
        </w:tc>
        <w:tc>
          <w:tcPr>
            <w:tcW w:type="dxa" w:w="1296"/>
          </w:tcPr>
          <w:p>
            <w:pPr>
              <w:spacing w:after="40" w:before="40"/>
              <w:jc w:val="center"/>
            </w:pPr>
            <w:r/>
            <w:r>
              <w:rPr>
                <w:rFonts w:ascii="Times New Roman" w:hAnsi="Times New Roman" w:eastAsia="Times New Roman"/>
                <w:b/>
                <w:i w:val="0"/>
                <w:sz w:val="18"/>
              </w:rPr>
              <w:t>Koefisien</w:t>
            </w:r>
          </w:p>
        </w:tc>
        <w:tc>
          <w:tcPr>
            <w:tcW w:type="dxa" w:w="1152"/>
          </w:tcPr>
          <w:p>
            <w:pPr>
              <w:spacing w:after="40" w:before="40"/>
              <w:jc w:val="center"/>
            </w:pPr>
            <w:r/>
            <w:r>
              <w:rPr>
                <w:rFonts w:ascii="Times New Roman" w:hAnsi="Times New Roman" w:eastAsia="Times New Roman"/>
                <w:b/>
                <w:i w:val="0"/>
                <w:sz w:val="18"/>
              </w:rPr>
              <w:t>Std error</w:t>
            </w:r>
          </w:p>
        </w:tc>
        <w:tc>
          <w:tcPr>
            <w:tcW w:type="dxa" w:w="864"/>
          </w:tcPr>
          <w:p>
            <w:pPr>
              <w:spacing w:after="40" w:before="40"/>
              <w:jc w:val="center"/>
            </w:pPr>
            <w:r/>
            <w:r>
              <w:rPr>
                <w:rFonts w:ascii="Times New Roman" w:hAnsi="Times New Roman" w:eastAsia="Times New Roman"/>
                <w:b/>
                <w:i w:val="0"/>
                <w:sz w:val="18"/>
              </w:rPr>
              <w:t>t</w:t>
            </w:r>
          </w:p>
        </w:tc>
        <w:tc>
          <w:tcPr>
            <w:tcW w:type="dxa" w:w="1296"/>
          </w:tcPr>
          <w:p>
            <w:pPr>
              <w:spacing w:after="40" w:before="40"/>
              <w:jc w:val="center"/>
            </w:pPr>
            <w:r/>
            <w:r>
              <w:rPr>
                <w:rFonts w:ascii="Times New Roman" w:hAnsi="Times New Roman" w:eastAsia="Times New Roman"/>
                <w:b/>
                <w:i w:val="0"/>
                <w:sz w:val="18"/>
              </w:rPr>
              <w:t>p-value</w:t>
            </w:r>
          </w:p>
        </w:tc>
        <w:tc>
          <w:tcPr>
            <w:tcW w:type="dxa" w:w="2160"/>
          </w:tcPr>
          <w:p>
            <w:pPr>
              <w:spacing w:after="40" w:before="40"/>
              <w:jc w:val="center"/>
            </w:pPr>
            <w:r/>
            <w:r>
              <w:rPr>
                <w:rFonts w:ascii="Times New Roman" w:hAnsi="Times New Roman" w:eastAsia="Times New Roman"/>
                <w:b/>
                <w:i w:val="0"/>
                <w:sz w:val="18"/>
              </w:rPr>
              <w:t>CI 95%</w:t>
            </w:r>
          </w:p>
        </w:tc>
      </w:tr>
      <w:tr>
        <w:tc>
          <w:tcPr>
            <w:tcW w:type="dxa" w:w="1872"/>
          </w:tcPr>
          <w:p>
            <w:pPr>
              <w:spacing w:after="40" w:before="40"/>
              <w:jc w:val="center"/>
            </w:pPr>
            <w:r/>
            <w:r>
              <w:rPr>
                <w:rFonts w:ascii="Times New Roman" w:hAnsi="Times New Roman" w:eastAsia="Times New Roman"/>
                <w:b w:val="0"/>
                <w:i w:val="0"/>
                <w:sz w:val="18"/>
              </w:rPr>
              <w:t>const</w:t>
            </w:r>
          </w:p>
        </w:tc>
        <w:tc>
          <w:tcPr>
            <w:tcW w:type="dxa" w:w="1296"/>
          </w:tcPr>
          <w:p>
            <w:pPr>
              <w:spacing w:after="40" w:before="40"/>
              <w:jc w:val="center"/>
            </w:pPr>
            <w:r/>
            <w:r>
              <w:rPr>
                <w:rFonts w:ascii="Times New Roman" w:hAnsi="Times New Roman" w:eastAsia="Times New Roman"/>
                <w:b w:val="0"/>
                <w:i w:val="0"/>
                <w:sz w:val="18"/>
              </w:rPr>
              <w:t>4,6243</w:t>
            </w:r>
          </w:p>
        </w:tc>
        <w:tc>
          <w:tcPr>
            <w:tcW w:type="dxa" w:w="1152"/>
          </w:tcPr>
          <w:p>
            <w:pPr>
              <w:spacing w:after="40" w:before="40"/>
              <w:jc w:val="center"/>
            </w:pPr>
            <w:r/>
            <w:r>
              <w:rPr>
                <w:rFonts w:ascii="Times New Roman" w:hAnsi="Times New Roman" w:eastAsia="Times New Roman"/>
                <w:b w:val="0"/>
                <w:i w:val="0"/>
                <w:sz w:val="18"/>
              </w:rPr>
              <w:t>0,1878</w:t>
            </w:r>
          </w:p>
        </w:tc>
        <w:tc>
          <w:tcPr>
            <w:tcW w:type="dxa" w:w="864"/>
          </w:tcPr>
          <w:p>
            <w:pPr>
              <w:spacing w:after="40" w:before="40"/>
              <w:jc w:val="center"/>
            </w:pPr>
            <w:r/>
            <w:r>
              <w:rPr>
                <w:rFonts w:ascii="Times New Roman" w:hAnsi="Times New Roman" w:eastAsia="Times New Roman"/>
                <w:b w:val="0"/>
                <w:i w:val="0"/>
                <w:sz w:val="18"/>
              </w:rPr>
              <w:t>24,62</w:t>
            </w:r>
          </w:p>
        </w:tc>
        <w:tc>
          <w:tcPr>
            <w:tcW w:type="dxa" w:w="1296"/>
          </w:tcPr>
          <w:p>
            <w:pPr>
              <w:spacing w:after="40" w:before="40"/>
              <w:jc w:val="center"/>
            </w:pPr>
            <w:r/>
            <w:r>
              <w:rPr>
                <w:rFonts w:ascii="Times New Roman" w:hAnsi="Times New Roman" w:eastAsia="Times New Roman"/>
                <w:b w:val="0"/>
                <w:i w:val="0"/>
                <w:sz w:val="18"/>
              </w:rPr>
              <w:t>&lt; 0,0001</w:t>
            </w:r>
          </w:p>
        </w:tc>
        <w:tc>
          <w:tcPr>
            <w:tcW w:type="dxa" w:w="2160"/>
          </w:tcPr>
          <w:p>
            <w:pPr>
              <w:spacing w:after="40" w:before="40"/>
              <w:jc w:val="center"/>
            </w:pPr>
            <w:r/>
            <w:r>
              <w:rPr>
                <w:rFonts w:ascii="Times New Roman" w:hAnsi="Times New Roman" w:eastAsia="Times New Roman"/>
                <w:b w:val="0"/>
                <w:i w:val="0"/>
                <w:sz w:val="18"/>
              </w:rPr>
              <w:t>[4,256 ; 4,992]</w:t>
            </w:r>
          </w:p>
        </w:tc>
      </w:tr>
      <w:tr>
        <w:tc>
          <w:tcPr>
            <w:tcW w:type="dxa" w:w="1872"/>
          </w:tcPr>
          <w:p>
            <w:pPr>
              <w:spacing w:after="40" w:before="40"/>
              <w:jc w:val="center"/>
            </w:pPr>
            <w:r/>
            <w:r>
              <w:rPr>
                <w:rFonts w:ascii="Times New Roman" w:hAnsi="Times New Roman" w:eastAsia="Times New Roman"/>
                <w:b w:val="0"/>
                <w:i w:val="0"/>
                <w:sz w:val="18"/>
              </w:rPr>
              <w:t>engine_size</w:t>
            </w:r>
          </w:p>
        </w:tc>
        <w:tc>
          <w:tcPr>
            <w:tcW w:type="dxa" w:w="1296"/>
          </w:tcPr>
          <w:p>
            <w:pPr>
              <w:spacing w:after="40" w:before="40"/>
              <w:jc w:val="center"/>
            </w:pPr>
            <w:r/>
            <w:r>
              <w:rPr>
                <w:rFonts w:ascii="Times New Roman" w:hAnsi="Times New Roman" w:eastAsia="Times New Roman"/>
                <w:b w:val="0"/>
                <w:i w:val="0"/>
                <w:sz w:val="18"/>
              </w:rPr>
              <w:t>1,8027</w:t>
            </w:r>
          </w:p>
        </w:tc>
        <w:tc>
          <w:tcPr>
            <w:tcW w:type="dxa" w:w="1152"/>
          </w:tcPr>
          <w:p>
            <w:pPr>
              <w:spacing w:after="40" w:before="40"/>
              <w:jc w:val="center"/>
            </w:pPr>
            <w:r/>
            <w:r>
              <w:rPr>
                <w:rFonts w:ascii="Times New Roman" w:hAnsi="Times New Roman" w:eastAsia="Times New Roman"/>
                <w:b w:val="0"/>
                <w:i w:val="0"/>
                <w:sz w:val="18"/>
              </w:rPr>
              <w:t>0,1612</w:t>
            </w:r>
          </w:p>
        </w:tc>
        <w:tc>
          <w:tcPr>
            <w:tcW w:type="dxa" w:w="864"/>
          </w:tcPr>
          <w:p>
            <w:pPr>
              <w:spacing w:after="40" w:before="40"/>
              <w:jc w:val="center"/>
            </w:pPr>
            <w:r/>
            <w:r>
              <w:rPr>
                <w:rFonts w:ascii="Times New Roman" w:hAnsi="Times New Roman" w:eastAsia="Times New Roman"/>
                <w:b w:val="0"/>
                <w:i w:val="0"/>
                <w:sz w:val="18"/>
              </w:rPr>
              <w:t>11,19</w:t>
            </w:r>
          </w:p>
        </w:tc>
        <w:tc>
          <w:tcPr>
            <w:tcW w:type="dxa" w:w="1296"/>
          </w:tcPr>
          <w:p>
            <w:pPr>
              <w:spacing w:after="40" w:before="40"/>
              <w:jc w:val="center"/>
            </w:pPr>
            <w:r/>
            <w:r>
              <w:rPr>
                <w:rFonts w:ascii="Times New Roman" w:hAnsi="Times New Roman" w:eastAsia="Times New Roman"/>
                <w:b w:val="0"/>
                <w:i w:val="0"/>
                <w:sz w:val="18"/>
              </w:rPr>
              <w:t>&lt; 0,0001</w:t>
            </w:r>
          </w:p>
        </w:tc>
        <w:tc>
          <w:tcPr>
            <w:tcW w:type="dxa" w:w="2160"/>
          </w:tcPr>
          <w:p>
            <w:pPr>
              <w:spacing w:after="40" w:before="40"/>
              <w:jc w:val="center"/>
            </w:pPr>
            <w:r/>
            <w:r>
              <w:rPr>
                <w:rFonts w:ascii="Times New Roman" w:hAnsi="Times New Roman" w:eastAsia="Times New Roman"/>
                <w:b w:val="0"/>
                <w:i w:val="0"/>
                <w:sz w:val="18"/>
              </w:rPr>
              <w:t>[1,487 ; 2,119]</w:t>
            </w:r>
          </w:p>
        </w:tc>
      </w:tr>
      <w:tr>
        <w:tc>
          <w:tcPr>
            <w:tcW w:type="dxa" w:w="1872"/>
          </w:tcPr>
          <w:p>
            <w:pPr>
              <w:spacing w:after="40" w:before="40"/>
              <w:jc w:val="center"/>
            </w:pPr>
            <w:r/>
            <w:r>
              <w:rPr>
                <w:rFonts w:ascii="Times New Roman" w:hAnsi="Times New Roman" w:eastAsia="Times New Roman"/>
                <w:b w:val="0"/>
                <w:i w:val="0"/>
                <w:sz w:val="18"/>
              </w:rPr>
              <w:t>engine_size²</w:t>
            </w:r>
          </w:p>
        </w:tc>
        <w:tc>
          <w:tcPr>
            <w:tcW w:type="dxa" w:w="1296"/>
          </w:tcPr>
          <w:p>
            <w:pPr>
              <w:spacing w:after="40" w:before="40"/>
              <w:jc w:val="center"/>
            </w:pPr>
            <w:r/>
            <w:r>
              <w:rPr>
                <w:rFonts w:ascii="Times New Roman" w:hAnsi="Times New Roman" w:eastAsia="Times New Roman"/>
                <w:b w:val="0"/>
                <w:i w:val="0"/>
                <w:sz w:val="18"/>
              </w:rPr>
              <w:t>0,1044</w:t>
            </w:r>
          </w:p>
        </w:tc>
        <w:tc>
          <w:tcPr>
            <w:tcW w:type="dxa" w:w="1152"/>
          </w:tcPr>
          <w:p>
            <w:pPr>
              <w:spacing w:after="40" w:before="40"/>
              <w:jc w:val="center"/>
            </w:pPr>
            <w:r/>
            <w:r>
              <w:rPr>
                <w:rFonts w:ascii="Times New Roman" w:hAnsi="Times New Roman" w:eastAsia="Times New Roman"/>
                <w:b w:val="0"/>
                <w:i w:val="0"/>
                <w:sz w:val="18"/>
              </w:rPr>
              <w:t>0,0425</w:t>
            </w:r>
          </w:p>
        </w:tc>
        <w:tc>
          <w:tcPr>
            <w:tcW w:type="dxa" w:w="864"/>
          </w:tcPr>
          <w:p>
            <w:pPr>
              <w:spacing w:after="40" w:before="40"/>
              <w:jc w:val="center"/>
            </w:pPr>
            <w:r/>
            <w:r>
              <w:rPr>
                <w:rFonts w:ascii="Times New Roman" w:hAnsi="Times New Roman" w:eastAsia="Times New Roman"/>
                <w:b w:val="0"/>
                <w:i w:val="0"/>
                <w:sz w:val="18"/>
              </w:rPr>
              <w:t>2,46</w:t>
            </w:r>
          </w:p>
        </w:tc>
        <w:tc>
          <w:tcPr>
            <w:tcW w:type="dxa" w:w="1296"/>
          </w:tcPr>
          <w:p>
            <w:pPr>
              <w:spacing w:after="40" w:before="40"/>
              <w:jc w:val="center"/>
            </w:pPr>
            <w:r/>
            <w:r>
              <w:rPr>
                <w:rFonts w:ascii="Times New Roman" w:hAnsi="Times New Roman" w:eastAsia="Times New Roman"/>
                <w:b w:val="0"/>
                <w:i w:val="0"/>
                <w:sz w:val="18"/>
              </w:rPr>
              <w:t>0,0141</w:t>
            </w:r>
          </w:p>
        </w:tc>
        <w:tc>
          <w:tcPr>
            <w:tcW w:type="dxa" w:w="2160"/>
          </w:tcPr>
          <w:p>
            <w:pPr>
              <w:spacing w:after="40" w:before="40"/>
              <w:jc w:val="center"/>
            </w:pPr>
            <w:r/>
            <w:r>
              <w:rPr>
                <w:rFonts w:ascii="Times New Roman" w:hAnsi="Times New Roman" w:eastAsia="Times New Roman"/>
                <w:b w:val="0"/>
                <w:i w:val="0"/>
                <w:sz w:val="18"/>
              </w:rPr>
              <w:t>[0,021 ; 0,188]</w:t>
            </w:r>
          </w:p>
        </w:tc>
      </w:tr>
      <w:tr>
        <w:tc>
          <w:tcPr>
            <w:tcW w:type="dxa" w:w="1872"/>
          </w:tcPr>
          <w:p>
            <w:pPr>
              <w:spacing w:after="40" w:before="40"/>
              <w:jc w:val="center"/>
            </w:pPr>
            <w:r/>
            <w:r>
              <w:rPr>
                <w:rFonts w:ascii="Times New Roman" w:hAnsi="Times New Roman" w:eastAsia="Times New Roman"/>
                <w:b w:val="0"/>
                <w:i w:val="0"/>
                <w:sz w:val="18"/>
              </w:rPr>
              <w:t>engine_size³</w:t>
            </w:r>
          </w:p>
        </w:tc>
        <w:tc>
          <w:tcPr>
            <w:tcW w:type="dxa" w:w="1296"/>
          </w:tcPr>
          <w:p>
            <w:pPr>
              <w:spacing w:after="40" w:before="40"/>
              <w:jc w:val="center"/>
            </w:pPr>
            <w:r/>
            <w:r>
              <w:rPr>
                <w:rFonts w:ascii="Times New Roman" w:hAnsi="Times New Roman" w:eastAsia="Times New Roman"/>
                <w:b w:val="0"/>
                <w:i w:val="0"/>
                <w:sz w:val="18"/>
              </w:rPr>
              <w:t>−0,0178</w:t>
            </w:r>
          </w:p>
        </w:tc>
        <w:tc>
          <w:tcPr>
            <w:tcW w:type="dxa" w:w="1152"/>
          </w:tcPr>
          <w:p>
            <w:pPr>
              <w:spacing w:after="40" w:before="40"/>
              <w:jc w:val="center"/>
            </w:pPr>
            <w:r/>
            <w:r>
              <w:rPr>
                <w:rFonts w:ascii="Times New Roman" w:hAnsi="Times New Roman" w:eastAsia="Times New Roman"/>
                <w:b w:val="0"/>
                <w:i w:val="0"/>
                <w:sz w:val="18"/>
              </w:rPr>
              <w:t>0,0035</w:t>
            </w:r>
          </w:p>
        </w:tc>
        <w:tc>
          <w:tcPr>
            <w:tcW w:type="dxa" w:w="864"/>
          </w:tcPr>
          <w:p>
            <w:pPr>
              <w:spacing w:after="40" w:before="40"/>
              <w:jc w:val="center"/>
            </w:pPr>
            <w:r/>
            <w:r>
              <w:rPr>
                <w:rFonts w:ascii="Times New Roman" w:hAnsi="Times New Roman" w:eastAsia="Times New Roman"/>
                <w:b w:val="0"/>
                <w:i w:val="0"/>
                <w:sz w:val="18"/>
              </w:rPr>
              <w:t>−5,08</w:t>
            </w:r>
          </w:p>
        </w:tc>
        <w:tc>
          <w:tcPr>
            <w:tcW w:type="dxa" w:w="1296"/>
          </w:tcPr>
          <w:p>
            <w:pPr>
              <w:spacing w:after="40" w:before="40"/>
              <w:jc w:val="center"/>
            </w:pPr>
            <w:r/>
            <w:r>
              <w:rPr>
                <w:rFonts w:ascii="Times New Roman" w:hAnsi="Times New Roman" w:eastAsia="Times New Roman"/>
                <w:b w:val="0"/>
                <w:i w:val="0"/>
                <w:sz w:val="18"/>
              </w:rPr>
              <w:t>&lt; 0,0001</w:t>
            </w:r>
          </w:p>
        </w:tc>
        <w:tc>
          <w:tcPr>
            <w:tcW w:type="dxa" w:w="2160"/>
          </w:tcPr>
          <w:p>
            <w:pPr>
              <w:spacing w:after="40" w:before="40"/>
              <w:jc w:val="center"/>
            </w:pPr>
            <w:r/>
            <w:r>
              <w:rPr>
                <w:rFonts w:ascii="Times New Roman" w:hAnsi="Times New Roman" w:eastAsia="Times New Roman"/>
                <w:b w:val="0"/>
                <w:i w:val="0"/>
                <w:sz w:val="18"/>
              </w:rPr>
              <w:t>[−0,025 ; −0,011]</w:t>
            </w:r>
          </w:p>
        </w:tc>
      </w:tr>
    </w:tbl>
    <w:p>
      <w:pPr>
        <w:spacing w:after="40"/>
      </w:pPr>
    </w:p>
    <w:p>
      <w:pPr>
        <w:spacing w:before="120" w:after="60"/>
      </w:pPr>
      <w:r>
        <w:rPr>
          <w:rFonts w:ascii="Times New Roman" w:hAnsi="Times New Roman" w:eastAsia="Times New Roman"/>
          <w:b/>
          <w:i/>
          <w:sz w:val="20"/>
        </w:rPr>
        <w:t>4.6 Validasi Asumsi OLS (Tahap 4)</w:t>
      </w:r>
    </w:p>
    <w:p>
      <w:pPr>
        <w:spacing w:after="120" w:before="0" w:line="240" w:lineRule="auto"/>
        <w:ind w:firstLine="432"/>
        <w:jc w:val="both"/>
      </w:pPr>
      <w:r>
        <w:rPr>
          <w:rFonts w:ascii="Times New Roman" w:hAnsi="Times New Roman" w:eastAsia="Times New Roman"/>
          <w:b w:val="0"/>
          <w:i w:val="0"/>
          <w:sz w:val="20"/>
        </w:rPr>
        <w:t>Anderson-Darling test menghasilkan statistik 149,99 yang jauh melampaui nilai kritis 5% sebesar 0,787, sehingga normalitas residu ditolak secara formal. Breusch-Pagan test menghasilkan LM = 1414,34 dengan p ≈ 2,3 × 10⁻³⁰⁶, sehingga homoskedastisitas juga ditolak. Namun, kedua hasil ini harus dibaca dengan hati-hati: pada ukuran sampel besar (n ≈ 18 ribu), kedua uji memiliki daya yang sangat tinggi sehingga mampu mendeteksi penyimpangan terkecil sekalipun. Penolakan formal tidak otomatis membatalkan model.</w:t>
      </w:r>
    </w:p>
    <w:p>
      <w:pPr>
        <w:spacing w:after="120" w:before="0" w:line="240" w:lineRule="auto"/>
        <w:ind w:firstLine="432"/>
        <w:jc w:val="both"/>
      </w:pPr>
      <w:r>
        <w:rPr>
          <w:rFonts w:ascii="Times New Roman" w:hAnsi="Times New Roman" w:eastAsia="Times New Roman"/>
          <w:b w:val="0"/>
          <w:i w:val="0"/>
          <w:sz w:val="20"/>
        </w:rPr>
        <w:t>Gambar 4 menyajikan diagnostik visual yang lebih substantif. Pada Q-Q plot, bagian tengah residu mengikuti garis 45° dengan penyimpangan hanya pada ekor, pola yang umum dan dapat diterima untuk data rekayasa dengan skewness kanan. Pada plot residuals vs fitted, awan residu sedikit melebar seiring naiknya nilai prediksi, konsisten dengan heteroskedastisitas yang ditandai Breusch-Pagan. Implikasinya, estimasi titik koefisien tetap tak bias, tetapi bila diperlukan inferensi presisi pada standard error, solusi standarnya adalah refit dengan standard error robust terhadap heteroskedastisitas (HC3).</w:t>
      </w:r>
    </w:p>
    <w:p>
      <w:pPr>
        <w:spacing w:before="120"/>
        <w:jc w:val="center"/>
      </w:pPr>
      <w:r>
        <w:drawing>
          <wp:inline xmlns:a="http://schemas.openxmlformats.org/drawingml/2006/main" xmlns:pic="http://schemas.openxmlformats.org/drawingml/2006/picture">
            <wp:extent cx="5486400" cy="2244647"/>
            <wp:docPr id="4" name="Picture 4"/>
            <wp:cNvGraphicFramePr>
              <a:graphicFrameLocks noChangeAspect="1"/>
            </wp:cNvGraphicFramePr>
            <a:graphic>
              <a:graphicData uri="http://schemas.openxmlformats.org/drawingml/2006/picture">
                <pic:pic>
                  <pic:nvPicPr>
                    <pic:cNvPr id="0" name="cell67_img7.png"/>
                    <pic:cNvPicPr/>
                  </pic:nvPicPr>
                  <pic:blipFill>
                    <a:blip r:embed="rId12"/>
                    <a:stretch>
                      <a:fillRect/>
                    </a:stretch>
                  </pic:blipFill>
                  <pic:spPr>
                    <a:xfrm>
                      <a:off x="0" y="0"/>
                      <a:ext cx="5486400" cy="2244647"/>
                    </a:xfrm>
                    <a:prstGeom prst="rect"/>
                  </pic:spPr>
                </pic:pic>
              </a:graphicData>
            </a:graphic>
          </wp:inline>
        </w:drawing>
      </w:r>
    </w:p>
    <w:p>
      <w:pPr>
        <w:spacing w:after="160"/>
        <w:jc w:val="center"/>
      </w:pPr>
      <w:r>
        <w:rPr>
          <w:rFonts w:ascii="Times New Roman" w:hAnsi="Times New Roman" w:eastAsia="Times New Roman"/>
          <w:b w:val="0"/>
          <w:i w:val="0"/>
          <w:sz w:val="18"/>
        </w:rPr>
        <w:t>Gambar 4. Diagnostik residu model final: Q-Q plot (kiri) dan plot residuals vs fitted (kanan).</w:t>
      </w:r>
    </w:p>
    <w:p>
      <w:pPr>
        <w:spacing w:before="120" w:after="60"/>
      </w:pPr>
      <w:r>
        <w:rPr>
          <w:rFonts w:ascii="Times New Roman" w:hAnsi="Times New Roman" w:eastAsia="Times New Roman"/>
          <w:b/>
          <w:i/>
          <w:sz w:val="20"/>
        </w:rPr>
        <w:t>4.7 Evaluasi Generalisasi</w:t>
      </w:r>
    </w:p>
    <w:p>
      <w:pPr>
        <w:spacing w:after="120" w:before="0" w:line="240" w:lineRule="auto"/>
        <w:ind w:firstLine="432"/>
        <w:jc w:val="both"/>
      </w:pPr>
      <w:r>
        <w:rPr>
          <w:rFonts w:ascii="Times New Roman" w:hAnsi="Times New Roman" w:eastAsia="Times New Roman"/>
          <w:b w:val="0"/>
          <w:i w:val="0"/>
          <w:sz w:val="20"/>
        </w:rPr>
        <w:t>Tabel 7 membandingkan kinerja model final pada subset pelatihan dan uji. Selisih metrik pelatihan terhadap uji sangat kecil (R² berselisih sekitar 0,001 dan RMSE sekitar 0,03 L/100 km), sehingga tidak ada indikasi overfitting, sesuai harapan untuk model dengan sedikit parameter pada sampel besar. RMSE uji ≈ 1,73 L/100 km dan MAE uji ≈ 1,26 L/100 km berarti prediksi tipikal meleset sekitar 1,3–1,7 L/100 km dari nilai sebenarnya.</w:t>
      </w:r>
    </w:p>
    <w:p>
      <w:pPr>
        <w:spacing w:before="160" w:after="60"/>
        <w:jc w:val="left"/>
      </w:pPr>
      <w:r>
        <w:rPr>
          <w:rFonts w:ascii="Times New Roman" w:hAnsi="Times New Roman" w:eastAsia="Times New Roman"/>
          <w:b w:val="0"/>
          <w:i w:val="0"/>
          <w:sz w:val="20"/>
        </w:rPr>
        <w:t>Tabel 7. Evaluasi generalisasi model final</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left w:val="none" w:sz="0" w:space="0" w:color="auto"/>
          <w:right w:val="none" w:sz="0" w:space="0" w:color="auto"/>
          <w:insideV w:val="none" w:sz="0" w:space="0" w:color="auto"/>
        </w:tblBorders>
      </w:tblPr>
      <w:tblGrid>
        <w:gridCol w:w="2340"/>
        <w:gridCol w:w="2340"/>
        <w:gridCol w:w="2340"/>
        <w:gridCol w:w="2340"/>
      </w:tblGrid>
      <w:tr>
        <w:tc>
          <w:tcPr>
            <w:tcW w:type="dxa" w:w="2448"/>
          </w:tcPr>
          <w:p>
            <w:pPr>
              <w:spacing w:after="40" w:before="40"/>
              <w:jc w:val="center"/>
            </w:pPr>
            <w:r/>
            <w:r>
              <w:rPr>
                <w:rFonts w:ascii="Times New Roman" w:hAnsi="Times New Roman" w:eastAsia="Times New Roman"/>
                <w:b/>
                <w:i w:val="0"/>
                <w:sz w:val="18"/>
              </w:rPr>
              <w:t>Metrik</w:t>
            </w:r>
          </w:p>
        </w:tc>
        <w:tc>
          <w:tcPr>
            <w:tcW w:type="dxa" w:w="1440"/>
          </w:tcPr>
          <w:p>
            <w:pPr>
              <w:spacing w:after="40" w:before="40"/>
              <w:jc w:val="center"/>
            </w:pPr>
            <w:r/>
            <w:r>
              <w:rPr>
                <w:rFonts w:ascii="Times New Roman" w:hAnsi="Times New Roman" w:eastAsia="Times New Roman"/>
                <w:b/>
                <w:i w:val="0"/>
                <w:sz w:val="18"/>
              </w:rPr>
              <w:t>Pelatihan</w:t>
            </w:r>
          </w:p>
        </w:tc>
        <w:tc>
          <w:tcPr>
            <w:tcW w:type="dxa" w:w="1440"/>
          </w:tcPr>
          <w:p>
            <w:pPr>
              <w:spacing w:after="40" w:before="40"/>
              <w:jc w:val="center"/>
            </w:pPr>
            <w:r/>
            <w:r>
              <w:rPr>
                <w:rFonts w:ascii="Times New Roman" w:hAnsi="Times New Roman" w:eastAsia="Times New Roman"/>
                <w:b/>
                <w:i w:val="0"/>
                <w:sz w:val="18"/>
              </w:rPr>
              <w:t>Uji</w:t>
            </w:r>
          </w:p>
        </w:tc>
        <w:tc>
          <w:tcPr>
            <w:tcW w:type="dxa" w:w="2304"/>
          </w:tcPr>
          <w:p>
            <w:pPr>
              <w:spacing w:after="40" w:before="40"/>
              <w:jc w:val="center"/>
            </w:pPr>
            <w:r/>
            <w:r>
              <w:rPr>
                <w:rFonts w:ascii="Times New Roman" w:hAnsi="Times New Roman" w:eastAsia="Times New Roman"/>
                <w:b/>
                <w:i w:val="0"/>
                <w:sz w:val="18"/>
              </w:rPr>
              <w:t>Selisih (latih − uji)</w:t>
            </w:r>
          </w:p>
        </w:tc>
      </w:tr>
      <w:tr>
        <w:tc>
          <w:tcPr>
            <w:tcW w:type="dxa" w:w="2448"/>
          </w:tcPr>
          <w:p>
            <w:pPr>
              <w:spacing w:after="40" w:before="40"/>
              <w:jc w:val="center"/>
            </w:pPr>
            <w:r/>
            <w:r>
              <w:rPr>
                <w:rFonts w:ascii="Times New Roman" w:hAnsi="Times New Roman" w:eastAsia="Times New Roman"/>
                <w:b w:val="0"/>
                <w:i w:val="0"/>
                <w:sz w:val="18"/>
              </w:rPr>
              <w:t>R²</w:t>
            </w:r>
          </w:p>
        </w:tc>
        <w:tc>
          <w:tcPr>
            <w:tcW w:type="dxa" w:w="1440"/>
          </w:tcPr>
          <w:p>
            <w:pPr>
              <w:spacing w:after="40" w:before="40"/>
              <w:jc w:val="center"/>
            </w:pPr>
            <w:r/>
            <w:r>
              <w:rPr>
                <w:rFonts w:ascii="Times New Roman" w:hAnsi="Times New Roman" w:eastAsia="Times New Roman"/>
                <w:b w:val="0"/>
                <w:i w:val="0"/>
                <w:sz w:val="18"/>
              </w:rPr>
              <w:t>0,6570</w:t>
            </w:r>
          </w:p>
        </w:tc>
        <w:tc>
          <w:tcPr>
            <w:tcW w:type="dxa" w:w="1440"/>
          </w:tcPr>
          <w:p>
            <w:pPr>
              <w:spacing w:after="40" w:before="40"/>
              <w:jc w:val="center"/>
            </w:pPr>
            <w:r/>
            <w:r>
              <w:rPr>
                <w:rFonts w:ascii="Times New Roman" w:hAnsi="Times New Roman" w:eastAsia="Times New Roman"/>
                <w:b w:val="0"/>
                <w:i w:val="0"/>
                <w:sz w:val="18"/>
              </w:rPr>
              <w:t>0,6582</w:t>
            </w:r>
          </w:p>
        </w:tc>
        <w:tc>
          <w:tcPr>
            <w:tcW w:type="dxa" w:w="2304"/>
          </w:tcPr>
          <w:p>
            <w:pPr>
              <w:spacing w:after="40" w:before="40"/>
              <w:jc w:val="center"/>
            </w:pPr>
            <w:r/>
            <w:r>
              <w:rPr>
                <w:rFonts w:ascii="Times New Roman" w:hAnsi="Times New Roman" w:eastAsia="Times New Roman"/>
                <w:b w:val="0"/>
                <w:i w:val="0"/>
                <w:sz w:val="18"/>
              </w:rPr>
              <w:t>−0,0012</w:t>
            </w:r>
          </w:p>
        </w:tc>
      </w:tr>
      <w:tr>
        <w:tc>
          <w:tcPr>
            <w:tcW w:type="dxa" w:w="2448"/>
          </w:tcPr>
          <w:p>
            <w:pPr>
              <w:spacing w:after="40" w:before="40"/>
              <w:jc w:val="center"/>
            </w:pPr>
            <w:r/>
            <w:r>
              <w:rPr>
                <w:rFonts w:ascii="Times New Roman" w:hAnsi="Times New Roman" w:eastAsia="Times New Roman"/>
                <w:b w:val="0"/>
                <w:i w:val="0"/>
                <w:sz w:val="18"/>
              </w:rPr>
              <w:t>RMSE (L/100 km)</w:t>
            </w:r>
          </w:p>
        </w:tc>
        <w:tc>
          <w:tcPr>
            <w:tcW w:type="dxa" w:w="1440"/>
          </w:tcPr>
          <w:p>
            <w:pPr>
              <w:spacing w:after="40" w:before="40"/>
              <w:jc w:val="center"/>
            </w:pPr>
            <w:r/>
            <w:r>
              <w:rPr>
                <w:rFonts w:ascii="Times New Roman" w:hAnsi="Times New Roman" w:eastAsia="Times New Roman"/>
                <w:b w:val="0"/>
                <w:i w:val="0"/>
                <w:sz w:val="18"/>
              </w:rPr>
              <w:t>1,6984</w:t>
            </w:r>
          </w:p>
        </w:tc>
        <w:tc>
          <w:tcPr>
            <w:tcW w:type="dxa" w:w="1440"/>
          </w:tcPr>
          <w:p>
            <w:pPr>
              <w:spacing w:after="40" w:before="40"/>
              <w:jc w:val="center"/>
            </w:pPr>
            <w:r/>
            <w:r>
              <w:rPr>
                <w:rFonts w:ascii="Times New Roman" w:hAnsi="Times New Roman" w:eastAsia="Times New Roman"/>
                <w:b w:val="0"/>
                <w:i w:val="0"/>
                <w:sz w:val="18"/>
              </w:rPr>
              <w:t>1,7261</w:t>
            </w:r>
          </w:p>
        </w:tc>
        <w:tc>
          <w:tcPr>
            <w:tcW w:type="dxa" w:w="2304"/>
          </w:tcPr>
          <w:p>
            <w:pPr>
              <w:spacing w:after="40" w:before="40"/>
              <w:jc w:val="center"/>
            </w:pPr>
            <w:r/>
            <w:r>
              <w:rPr>
                <w:rFonts w:ascii="Times New Roman" w:hAnsi="Times New Roman" w:eastAsia="Times New Roman"/>
                <w:b w:val="0"/>
                <w:i w:val="0"/>
                <w:sz w:val="18"/>
              </w:rPr>
              <w:t>−0,0277</w:t>
            </w:r>
          </w:p>
        </w:tc>
      </w:tr>
      <w:tr>
        <w:tc>
          <w:tcPr>
            <w:tcW w:type="dxa" w:w="2448"/>
          </w:tcPr>
          <w:p>
            <w:pPr>
              <w:spacing w:after="40" w:before="40"/>
              <w:jc w:val="center"/>
            </w:pPr>
            <w:r/>
            <w:r>
              <w:rPr>
                <w:rFonts w:ascii="Times New Roman" w:hAnsi="Times New Roman" w:eastAsia="Times New Roman"/>
                <w:b w:val="0"/>
                <w:i w:val="0"/>
                <w:sz w:val="18"/>
              </w:rPr>
              <w:t>MAE (L/100 km)</w:t>
            </w:r>
          </w:p>
        </w:tc>
        <w:tc>
          <w:tcPr>
            <w:tcW w:type="dxa" w:w="1440"/>
          </w:tcPr>
          <w:p>
            <w:pPr>
              <w:spacing w:after="40" w:before="40"/>
              <w:jc w:val="center"/>
            </w:pPr>
            <w:r/>
            <w:r>
              <w:rPr>
                <w:rFonts w:ascii="Times New Roman" w:hAnsi="Times New Roman" w:eastAsia="Times New Roman"/>
                <w:b w:val="0"/>
                <w:i w:val="0"/>
                <w:sz w:val="18"/>
              </w:rPr>
              <w:t>1,2440</w:t>
            </w:r>
          </w:p>
        </w:tc>
        <w:tc>
          <w:tcPr>
            <w:tcW w:type="dxa" w:w="1440"/>
          </w:tcPr>
          <w:p>
            <w:pPr>
              <w:spacing w:after="40" w:before="40"/>
              <w:jc w:val="center"/>
            </w:pPr>
            <w:r/>
            <w:r>
              <w:rPr>
                <w:rFonts w:ascii="Times New Roman" w:hAnsi="Times New Roman" w:eastAsia="Times New Roman"/>
                <w:b w:val="0"/>
                <w:i w:val="0"/>
                <w:sz w:val="18"/>
              </w:rPr>
              <w:t>1,2575</w:t>
            </w:r>
          </w:p>
        </w:tc>
        <w:tc>
          <w:tcPr>
            <w:tcW w:type="dxa" w:w="2304"/>
          </w:tcPr>
          <w:p>
            <w:pPr>
              <w:spacing w:after="40" w:before="40"/>
              <w:jc w:val="center"/>
            </w:pPr>
            <w:r/>
            <w:r>
              <w:rPr>
                <w:rFonts w:ascii="Times New Roman" w:hAnsi="Times New Roman" w:eastAsia="Times New Roman"/>
                <w:b w:val="0"/>
                <w:i w:val="0"/>
                <w:sz w:val="18"/>
              </w:rPr>
              <w:t>−0,0135</w:t>
            </w:r>
          </w:p>
        </w:tc>
      </w:tr>
    </w:tbl>
    <w:p>
      <w:pPr>
        <w:spacing w:after="40"/>
      </w:pPr>
    </w:p>
    <w:p>
      <w:pPr>
        <w:spacing w:after="120" w:before="0" w:line="240" w:lineRule="auto"/>
        <w:ind w:firstLine="432"/>
        <w:jc w:val="both"/>
      </w:pPr>
      <w:r>
        <w:rPr>
          <w:rFonts w:ascii="Times New Roman" w:hAnsi="Times New Roman" w:eastAsia="Times New Roman"/>
          <w:b w:val="0"/>
          <w:i w:val="0"/>
          <w:sz w:val="20"/>
        </w:rPr>
        <w:t>Secara keseluruhan, ukuran mesin sendirian menjelaskan sekitar 66% variansi konsumsi bahan bakar gabungan. Sisanya berasal dari faktor yang tidak dimodelkan, seperti tipe bahan bakar, bobot kendaraan, aerodinamika, dan jenis drivetrain. Untuk pemakaian terapan, prediksi sebaiknya diperlakukan sebagai estimasi kasar karena masih menyisakan ketidakpastian per kendaraan yang cukup besar.</w:t>
      </w:r>
    </w:p>
    <w:p>
      <w:pPr>
        <w:spacing w:before="200" w:after="80"/>
        <w:jc w:val="left"/>
      </w:pPr>
      <w:r>
        <w:rPr>
          <w:rFonts w:ascii="Times New Roman" w:hAnsi="Times New Roman" w:eastAsia="Times New Roman"/>
          <w:b/>
          <w:i w:val="0"/>
          <w:sz w:val="20"/>
        </w:rPr>
        <w:t>5. Kesimpulan dan Saran</w:t>
      </w:r>
    </w:p>
    <w:p>
      <w:pPr>
        <w:spacing w:after="120" w:before="0" w:line="240" w:lineRule="auto"/>
        <w:ind w:firstLine="432"/>
        <w:jc w:val="both"/>
      </w:pPr>
      <w:r>
        <w:rPr>
          <w:rFonts w:ascii="Times New Roman" w:hAnsi="Times New Roman" w:eastAsia="Times New Roman"/>
          <w:b w:val="0"/>
          <w:i w:val="0"/>
          <w:sz w:val="20"/>
        </w:rPr>
        <w:t>Penelitian ini memodelkan konsumsi bahan bakar gabungan kendaraan melalui kerangka keputusan bertingkat. Seleksi fitur Tahap 1 menyisakan satu prediktor, yaitu ukuran mesin, setelah jumlah silinder dibuang karena hampir kolinier (r ≈ 0,91) dan tahun model dibuang karena korelasinya lemah. Dua Nested F-Test secara berurutan menolak hipotesis nol sehingga model kubik terpilih sebagai model final. Model tersebut menjelaskan sekitar 66% variansi (R² uji ≈ 0,658) dengan RMSE uji ≈ 1,73 L/100 km dan tanpa indikasi overfitting. Bentuk kurva yang naik lalu melandai menegaskan pola diminishing returns pada hubungan ukuran mesin dengan konsumsi bahan bakar. Uji normalitas dan homoskedastisitas ditolak secara formal, namun hal ini merupakan konsekuensi wajar dari ukuran sampel besar dan tidak membatalkan estimasi titik koefisien.</w:t>
      </w:r>
    </w:p>
    <w:p>
      <w:pPr>
        <w:spacing w:after="120" w:before="0" w:line="240" w:lineRule="auto"/>
        <w:ind w:firstLine="432"/>
        <w:jc w:val="both"/>
      </w:pPr>
      <w:r>
        <w:rPr>
          <w:rFonts w:ascii="Times New Roman" w:hAnsi="Times New Roman" w:eastAsia="Times New Roman"/>
          <w:b w:val="0"/>
          <w:i w:val="0"/>
          <w:sz w:val="20"/>
        </w:rPr>
        <w:t>Penelitian ini memiliki keterbatasan. Model bersifat prediktif dan asosiatif, bukan kausal; koefisien ukuran mesin menyerap segala sesuatu yang berkorelasi dengannya tetapi tidak ikut dimodelkan. Untuk penelitian lanjutan, disarankan menambahkan prediktor lain yang relevan (tipe bahan bakar, bobot, aerodinamika, drivetrain), menerapkan standard error robust HC3 untuk inferensi yang lebih presisi, serta mengeksplorasi model nonlinier alternatif seperti regresi spline atau generalized additive model guna menangkap struktur yang lebih kaya.</w:t>
      </w:r>
    </w:p>
    <w:p>
      <w:pPr>
        <w:spacing w:before="200" w:after="80"/>
        <w:jc w:val="left"/>
      </w:pPr>
      <w:r>
        <w:rPr>
          <w:rFonts w:ascii="Times New Roman" w:hAnsi="Times New Roman" w:eastAsia="Times New Roman"/>
          <w:b/>
          <w:i w:val="0"/>
          <w:sz w:val="20"/>
        </w:rPr>
        <w:t>Ucapan Terima Kasih</w:t>
      </w:r>
    </w:p>
    <w:p>
      <w:pPr>
        <w:spacing w:after="120" w:before="0" w:line="240" w:lineRule="auto"/>
        <w:ind w:firstLine="432"/>
        <w:jc w:val="both"/>
      </w:pPr>
      <w:r>
        <w:rPr>
          <w:rFonts w:ascii="Times New Roman" w:hAnsi="Times New Roman" w:eastAsia="Times New Roman"/>
          <w:b w:val="0"/>
          <w:i w:val="0"/>
          <w:sz w:val="20"/>
        </w:rPr>
        <w:t>Penulis mengucapkan terima kasih kepada dosen pengampu mata kuliah Probabilitas dan Statistika atas bimbingan selama penyusunan penelitian ini, serta kepada penyedia dataset publik Fuel Consumption 2000–2022 yang memungkinkan analisis ini dilakukan.</w:t>
      </w:r>
    </w:p>
    <w:p>
      <w:pPr>
        <w:spacing w:before="200" w:after="80"/>
        <w:jc w:val="left"/>
      </w:pPr>
      <w:r>
        <w:rPr>
          <w:rFonts w:ascii="Times New Roman" w:hAnsi="Times New Roman" w:eastAsia="Times New Roman"/>
          <w:b/>
          <w:i w:val="0"/>
          <w:sz w:val="20"/>
        </w:rPr>
        <w:t>Daftar Pustaka</w:t>
      </w:r>
    </w:p>
    <w:p>
      <w:pPr>
        <w:spacing w:after="80"/>
        <w:ind w:left="432" w:hanging="432"/>
        <w:jc w:val="both"/>
      </w:pPr>
      <w:r>
        <w:rPr>
          <w:rFonts w:ascii="Times New Roman" w:hAnsi="Times New Roman" w:eastAsia="Times New Roman"/>
          <w:b w:val="0"/>
          <w:i w:val="0"/>
          <w:sz w:val="20"/>
        </w:rPr>
        <w:t>Anderson, T. W., &amp; Darling, D. A. (1952). Asymptotic theory of certain "goodness of fit" criteria based on stochastic processes. The Annals of Mathematical Statistics, 23(2), 193–212.</w:t>
      </w:r>
    </w:p>
    <w:p>
      <w:pPr>
        <w:spacing w:after="80"/>
        <w:ind w:left="432" w:hanging="432"/>
        <w:jc w:val="both"/>
      </w:pPr>
      <w:r>
        <w:rPr>
          <w:rFonts w:ascii="Times New Roman" w:hAnsi="Times New Roman" w:eastAsia="Times New Roman"/>
          <w:b w:val="0"/>
          <w:i w:val="0"/>
          <w:sz w:val="20"/>
        </w:rPr>
        <w:t>Breusch, T. S., &amp; Pagan, A. R. (1979). A simple test for heteroscedasticity and random coefficient variation. Econometrica, 47(5), 1287–1294.</w:t>
      </w:r>
    </w:p>
    <w:p>
      <w:pPr>
        <w:spacing w:after="80"/>
        <w:ind w:left="432" w:hanging="432"/>
        <w:jc w:val="both"/>
      </w:pPr>
      <w:r>
        <w:rPr>
          <w:rFonts w:ascii="Times New Roman" w:hAnsi="Times New Roman" w:eastAsia="Times New Roman"/>
          <w:b w:val="0"/>
          <w:i w:val="0"/>
          <w:sz w:val="20"/>
        </w:rPr>
        <w:t>Draper, N. R., &amp; Smith, H. (1998). Applied regression analysis (3rd ed.). New York: John Wiley &amp; Sons.</w:t>
      </w:r>
    </w:p>
    <w:p>
      <w:pPr>
        <w:spacing w:after="80"/>
        <w:ind w:left="432" w:hanging="432"/>
        <w:jc w:val="both"/>
      </w:pPr>
      <w:r>
        <w:rPr>
          <w:rFonts w:ascii="Times New Roman" w:hAnsi="Times New Roman" w:eastAsia="Times New Roman"/>
          <w:b w:val="0"/>
          <w:i w:val="0"/>
          <w:sz w:val="20"/>
        </w:rPr>
        <w:t>James, G., Witten, D., Hastie, T., &amp; Tibshirani, R. (2013). An introduction to statistical learning with applications in R. New York: Springer.</w:t>
      </w:r>
    </w:p>
    <w:p>
      <w:pPr>
        <w:spacing w:after="80"/>
        <w:ind w:left="432" w:hanging="432"/>
        <w:jc w:val="both"/>
      </w:pPr>
      <w:r>
        <w:rPr>
          <w:rFonts w:ascii="Times New Roman" w:hAnsi="Times New Roman" w:eastAsia="Times New Roman"/>
          <w:b w:val="0"/>
          <w:i w:val="0"/>
          <w:sz w:val="20"/>
        </w:rPr>
        <w:t>Montgomery, D. C., Peck, E. A., &amp; Vining, G. G. (2012). Introduction to linear regression analysis (5th ed.). Hoboken, NJ: John Wiley &amp; Sons.</w:t>
      </w:r>
    </w:p>
    <w:p>
      <w:pPr>
        <w:spacing w:after="80"/>
        <w:ind w:left="432" w:hanging="432"/>
        <w:jc w:val="both"/>
      </w:pPr>
      <w:r>
        <w:rPr>
          <w:rFonts w:ascii="Times New Roman" w:hAnsi="Times New Roman" w:eastAsia="Times New Roman"/>
          <w:b w:val="0"/>
          <w:i w:val="0"/>
          <w:sz w:val="20"/>
        </w:rPr>
        <w:t>Seabold, S., &amp; Perktold, J. (2010). Statsmodels: Econometric and statistical modeling with Python. Proceedings of the 9th Python in Science Conference, 92–96.</w:t>
      </w:r>
    </w:p>
    <w:p>
      <w:pPr>
        <w:spacing w:after="80"/>
        <w:ind w:left="432" w:hanging="432"/>
        <w:jc w:val="both"/>
      </w:pPr>
      <w:r>
        <w:rPr>
          <w:rFonts w:ascii="Times New Roman" w:hAnsi="Times New Roman" w:eastAsia="Times New Roman"/>
          <w:b w:val="0"/>
          <w:i w:val="0"/>
          <w:sz w:val="20"/>
        </w:rPr>
        <w:t>Spearman, C. (1904). The proof and measurement of association between two things. The American Journal of Psychology, 15(1), 72–101.</w:t>
      </w:r>
    </w:p>
    <w:p>
      <w:pPr>
        <w:spacing w:before="200" w:after="80"/>
        <w:jc w:val="left"/>
      </w:pPr>
      <w:r>
        <w:rPr>
          <w:rFonts w:ascii="Times New Roman" w:hAnsi="Times New Roman" w:eastAsia="Times New Roman"/>
          <w:b/>
          <w:i w:val="0"/>
          <w:sz w:val="20"/>
        </w:rPr>
        <w:t>Lampiran</w:t>
      </w:r>
    </w:p>
    <w:p>
      <w:pPr>
        <w:spacing w:after="120" w:before="0" w:line="240" w:lineRule="auto"/>
        <w:ind w:firstLine="432"/>
        <w:jc w:val="both"/>
      </w:pPr>
      <w:r>
        <w:rPr>
          <w:rFonts w:ascii="Times New Roman" w:hAnsi="Times New Roman" w:eastAsia="Times New Roman"/>
          <w:b w:val="0"/>
          <w:i w:val="0"/>
          <w:sz w:val="20"/>
        </w:rPr>
        <w:t>Bagian ini memuat visualisasi berukuran besar yang mendukung analisis pada bagian utama.</w:t>
      </w:r>
    </w:p>
    <w:p>
      <w:pPr>
        <w:spacing w:before="120"/>
        <w:jc w:val="center"/>
      </w:pPr>
      <w:r>
        <w:drawing>
          <wp:inline xmlns:a="http://schemas.openxmlformats.org/drawingml/2006/main" xmlns:pic="http://schemas.openxmlformats.org/drawingml/2006/picture">
            <wp:extent cx="3931920" cy="3365961"/>
            <wp:docPr id="5" name="Picture 5"/>
            <wp:cNvGraphicFramePr>
              <a:graphicFrameLocks noChangeAspect="1"/>
            </wp:cNvGraphicFramePr>
            <a:graphic>
              <a:graphicData uri="http://schemas.openxmlformats.org/drawingml/2006/picture">
                <pic:pic>
                  <pic:nvPicPr>
                    <pic:cNvPr id="0" name="cell24_img3.png"/>
                    <pic:cNvPicPr/>
                  </pic:nvPicPr>
                  <pic:blipFill>
                    <a:blip r:embed="rId13"/>
                    <a:stretch>
                      <a:fillRect/>
                    </a:stretch>
                  </pic:blipFill>
                  <pic:spPr>
                    <a:xfrm>
                      <a:off x="0" y="0"/>
                      <a:ext cx="3931920" cy="3365961"/>
                    </a:xfrm>
                    <a:prstGeom prst="rect"/>
                  </pic:spPr>
                </pic:pic>
              </a:graphicData>
            </a:graphic>
          </wp:inline>
        </w:drawing>
      </w:r>
    </w:p>
    <w:p>
      <w:pPr>
        <w:spacing w:after="160"/>
        <w:jc w:val="center"/>
      </w:pPr>
      <w:r>
        <w:rPr>
          <w:rFonts w:ascii="Times New Roman" w:hAnsi="Times New Roman" w:eastAsia="Times New Roman"/>
          <w:b w:val="0"/>
          <w:i w:val="0"/>
          <w:sz w:val="18"/>
        </w:rPr>
        <w:t>Gambar A1. Matriks korelasi Pearson antar variabel.</w:t>
      </w:r>
    </w:p>
    <w:p>
      <w:pPr>
        <w:spacing w:before="120"/>
        <w:jc w:val="center"/>
      </w:pPr>
      <w:r>
        <w:drawing>
          <wp:inline xmlns:a="http://schemas.openxmlformats.org/drawingml/2006/main" xmlns:pic="http://schemas.openxmlformats.org/drawingml/2006/picture">
            <wp:extent cx="3931920" cy="3365961"/>
            <wp:docPr id="6" name="Picture 6"/>
            <wp:cNvGraphicFramePr>
              <a:graphicFrameLocks noChangeAspect="1"/>
            </wp:cNvGraphicFramePr>
            <a:graphic>
              <a:graphicData uri="http://schemas.openxmlformats.org/drawingml/2006/picture">
                <pic:pic>
                  <pic:nvPicPr>
                    <pic:cNvPr id="0" name="cell27_img4.png"/>
                    <pic:cNvPicPr/>
                  </pic:nvPicPr>
                  <pic:blipFill>
                    <a:blip r:embed="rId14"/>
                    <a:stretch>
                      <a:fillRect/>
                    </a:stretch>
                  </pic:blipFill>
                  <pic:spPr>
                    <a:xfrm>
                      <a:off x="0" y="0"/>
                      <a:ext cx="3931920" cy="3365961"/>
                    </a:xfrm>
                    <a:prstGeom prst="rect"/>
                  </pic:spPr>
                </pic:pic>
              </a:graphicData>
            </a:graphic>
          </wp:inline>
        </w:drawing>
      </w:r>
    </w:p>
    <w:p>
      <w:pPr>
        <w:spacing w:after="160"/>
        <w:jc w:val="center"/>
      </w:pPr>
      <w:r>
        <w:rPr>
          <w:rFonts w:ascii="Times New Roman" w:hAnsi="Times New Roman" w:eastAsia="Times New Roman"/>
          <w:b w:val="0"/>
          <w:i w:val="0"/>
          <w:sz w:val="18"/>
        </w:rPr>
        <w:t>Gambar A2. Matriks korelasi Spearman antar variabel.</w:t>
      </w:r>
    </w:p>
    <w:p>
      <w:pPr>
        <w:spacing w:before="120"/>
        <w:jc w:val="center"/>
      </w:pPr>
      <w:r>
        <w:drawing>
          <wp:inline xmlns:a="http://schemas.openxmlformats.org/drawingml/2006/main" xmlns:pic="http://schemas.openxmlformats.org/drawingml/2006/picture">
            <wp:extent cx="4572000" cy="4757901"/>
            <wp:docPr id="7" name="Picture 7"/>
            <wp:cNvGraphicFramePr>
              <a:graphicFrameLocks noChangeAspect="1"/>
            </wp:cNvGraphicFramePr>
            <a:graphic>
              <a:graphicData uri="http://schemas.openxmlformats.org/drawingml/2006/picture">
                <pic:pic>
                  <pic:nvPicPr>
                    <pic:cNvPr id="0" name="cell38_img5.png"/>
                    <pic:cNvPicPr/>
                  </pic:nvPicPr>
                  <pic:blipFill>
                    <a:blip r:embed="rId15"/>
                    <a:stretch>
                      <a:fillRect/>
                    </a:stretch>
                  </pic:blipFill>
                  <pic:spPr>
                    <a:xfrm>
                      <a:off x="0" y="0"/>
                      <a:ext cx="4572000" cy="4757901"/>
                    </a:xfrm>
                    <a:prstGeom prst="rect"/>
                  </pic:spPr>
                </pic:pic>
              </a:graphicData>
            </a:graphic>
          </wp:inline>
        </w:drawing>
      </w:r>
    </w:p>
    <w:p>
      <w:pPr>
        <w:spacing w:after="160"/>
        <w:jc w:val="center"/>
      </w:pPr>
      <w:r>
        <w:rPr>
          <w:rFonts w:ascii="Times New Roman" w:hAnsi="Times New Roman" w:eastAsia="Times New Roman"/>
          <w:b w:val="0"/>
          <w:i w:val="0"/>
          <w:sz w:val="18"/>
        </w:rPr>
        <w:t>Gambar A3. Pair plot seluruh variabel pada sampel acak 3.000 baris. Panel ukuran mesin vs jumlah silinder memperlihatkan hubungan nyaris deterministik yang menjadi dasar pembuangan jumlah silinder.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