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F3D" w:rsidRDefault="009F0F3D" w:rsidP="009F0F3D">
      <w:pPr>
        <w:jc w:val="both"/>
      </w:pPr>
      <w:r>
        <w:t>[기출][1][2009-1]해고의 예고(근로기준법 제26조)와 해고의 서면 통지(근로기준법 제27조)</w:t>
      </w:r>
    </w:p>
    <w:p w:rsidR="009F0F3D" w:rsidRDefault="009F0F3D" w:rsidP="009F0F3D">
      <w:pPr>
        <w:jc w:val="both"/>
      </w:pPr>
    </w:p>
    <w:p w:rsidR="009F0F3D" w:rsidRDefault="009F0F3D" w:rsidP="009F0F3D">
      <w:pPr>
        <w:jc w:val="both"/>
      </w:pPr>
      <w:r>
        <w:rPr>
          <w:rFonts w:hint="eastAsia"/>
        </w:rPr>
        <w:t>【문제</w:t>
      </w:r>
      <w:r>
        <w:t>1】 근로기준법상 해고절차의 제한 가운데 해고의 예고 및 해고의 서면통지에 관하여 논하시오. (50점)</w:t>
      </w:r>
    </w:p>
    <w:p w:rsidR="009F0F3D" w:rsidRDefault="009F0F3D" w:rsidP="009F0F3D">
      <w:pPr>
        <w:jc w:val="both"/>
      </w:pPr>
    </w:p>
    <w:p w:rsidR="009F0F3D" w:rsidRDefault="009F0F3D" w:rsidP="009F0F3D">
      <w:pPr>
        <w:jc w:val="both"/>
      </w:pPr>
    </w:p>
    <w:sectPr w:rsidR="009F0F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3D"/>
    <w:rsid w:val="00000065"/>
    <w:rsid w:val="009F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3BA37-CD3D-4B14-AC87-4F3DD042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0F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0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0F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0F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0F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0F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0F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0F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0F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0F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0F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0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0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0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0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0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0F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0F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0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0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0F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0F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0F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0F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0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