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B6C4" w14:textId="77777777" w:rsidR="00F533A6" w:rsidRDefault="00F533A6" w:rsidP="00F533A6">
      <w:pPr>
        <w:jc w:val="both"/>
      </w:pPr>
      <w:r>
        <w:t>[기출][1][2010-2]전적명령의 유효 요건</w:t>
      </w:r>
    </w:p>
    <w:p w14:paraId="0B557577" w14:textId="77777777" w:rsidR="00F533A6" w:rsidRDefault="00F533A6" w:rsidP="00F533A6">
      <w:pPr>
        <w:jc w:val="both"/>
      </w:pPr>
    </w:p>
    <w:p w14:paraId="68881E3C" w14:textId="77777777" w:rsidR="00F533A6" w:rsidRDefault="00F533A6" w:rsidP="00F533A6">
      <w:pPr>
        <w:jc w:val="both"/>
      </w:pPr>
      <w:r>
        <w:rPr>
          <w:rFonts w:hint="eastAsia"/>
        </w:rPr>
        <w:t>【문제</w:t>
      </w:r>
      <w:r>
        <w:t>2】 사용자의 전적(轉籍)명령의 유효요건에 관하여 설명하시오. (25점)</w:t>
      </w:r>
    </w:p>
    <w:p w14:paraId="48FCD2FE" w14:textId="77777777" w:rsidR="00F533A6" w:rsidRDefault="00F533A6" w:rsidP="00F533A6">
      <w:pPr>
        <w:jc w:val="both"/>
      </w:pPr>
    </w:p>
    <w:p w14:paraId="26372308" w14:textId="77777777" w:rsidR="00F533A6" w:rsidRDefault="00F533A6" w:rsidP="00F533A6">
      <w:pPr>
        <w:jc w:val="both"/>
      </w:pPr>
    </w:p>
    <w:sectPr w:rsidR="00F533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A6"/>
    <w:rsid w:val="00000065"/>
    <w:rsid w:val="00F5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240F"/>
  <w15:chartTrackingRefBased/>
  <w15:docId w15:val="{524CB8F9-CB9B-443C-ADEC-ECD5853C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33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3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33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33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33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33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33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33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33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33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33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33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33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33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33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33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33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33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3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3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33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33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33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3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33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3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