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08FBC" w14:textId="77777777" w:rsidR="00A04759" w:rsidRDefault="00A04759" w:rsidP="00A04759">
      <w:pPr>
        <w:jc w:val="both"/>
      </w:pPr>
      <w:r>
        <w:t>[기출][1][2011-1]포괄임금제의 유효 요건</w:t>
      </w:r>
    </w:p>
    <w:p w14:paraId="767DC69F" w14:textId="77777777" w:rsidR="00A04759" w:rsidRDefault="00A04759" w:rsidP="00A04759">
      <w:pPr>
        <w:jc w:val="both"/>
      </w:pPr>
    </w:p>
    <w:p w14:paraId="68BA9370" w14:textId="77777777" w:rsidR="00A04759" w:rsidRDefault="00A04759" w:rsidP="00A04759">
      <w:pPr>
        <w:jc w:val="both"/>
      </w:pPr>
      <w:r>
        <w:rPr>
          <w:rFonts w:hint="eastAsia"/>
        </w:rPr>
        <w:t>【문제</w:t>
      </w:r>
      <w:r>
        <w:t>1】 실제 근로시간 수 등에 상관없이 일정액을 시간외근로 등에 대한 법정수당으로 지급하기로 하는 내용의 임금지급계약의 유효 요건에 대한 판례법리를 논하시오. (50점)</w:t>
      </w:r>
    </w:p>
    <w:p w14:paraId="04D7E4F9" w14:textId="77777777" w:rsidR="00A04759" w:rsidRDefault="00A04759" w:rsidP="00A04759">
      <w:pPr>
        <w:jc w:val="both"/>
      </w:pPr>
    </w:p>
    <w:p w14:paraId="56A8E21E" w14:textId="58B72373" w:rsidR="00A04759" w:rsidRDefault="00A04759" w:rsidP="00A04759">
      <w:pPr>
        <w:jc w:val="both"/>
      </w:pPr>
    </w:p>
    <w:sectPr w:rsidR="00A047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759"/>
    <w:rsid w:val="00000065"/>
    <w:rsid w:val="00A0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DCD05"/>
  <w15:chartTrackingRefBased/>
  <w15:docId w15:val="{0F06E6D3-6588-44D5-BDC9-2D27D9418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047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04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047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047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47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47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047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047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047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047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047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047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047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047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047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047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047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047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047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04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047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047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04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047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047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047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04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047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04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