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CA93" w14:textId="77777777" w:rsidR="00131160" w:rsidRDefault="00131160" w:rsidP="00131160">
      <w:pPr>
        <w:jc w:val="both"/>
      </w:pPr>
      <w:r>
        <w:t>[기출][1][2012-2]중간착취의 배제 원칙</w:t>
      </w:r>
    </w:p>
    <w:p w14:paraId="7C3A3620" w14:textId="77777777" w:rsidR="00131160" w:rsidRDefault="00131160" w:rsidP="00131160">
      <w:pPr>
        <w:jc w:val="both"/>
      </w:pPr>
    </w:p>
    <w:p w14:paraId="603B69D3" w14:textId="77777777" w:rsidR="00131160" w:rsidRDefault="00131160" w:rsidP="00131160">
      <w:pPr>
        <w:jc w:val="both"/>
      </w:pPr>
      <w:r>
        <w:rPr>
          <w:rFonts w:hint="eastAsia"/>
        </w:rPr>
        <w:t>【문제</w:t>
      </w:r>
      <w:r>
        <w:t>2】 근로기준법상 중간착취의 배제에 관하여 설명하시오. (25점)</w:t>
      </w:r>
    </w:p>
    <w:p w14:paraId="6257BBC3" w14:textId="77777777" w:rsidR="00131160" w:rsidRDefault="00131160" w:rsidP="00131160">
      <w:pPr>
        <w:jc w:val="both"/>
      </w:pPr>
    </w:p>
    <w:p w14:paraId="5ACB0832" w14:textId="77777777" w:rsidR="00131160" w:rsidRDefault="00131160" w:rsidP="00131160">
      <w:pPr>
        <w:jc w:val="both"/>
      </w:pPr>
    </w:p>
    <w:sectPr w:rsidR="001311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60"/>
    <w:rsid w:val="00000065"/>
    <w:rsid w:val="0013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C6FE"/>
  <w15:chartTrackingRefBased/>
  <w15:docId w15:val="{23512AF7-AF23-4E09-AEC0-7C5A0AB2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11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11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11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11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11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11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11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11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11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11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11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11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11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11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11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11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11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11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11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1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11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11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11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11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1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