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16F7" w:rsidRDefault="00CB16F7" w:rsidP="00CB16F7">
      <w:pPr>
        <w:jc w:val="both"/>
      </w:pPr>
      <w:r>
        <w:t>[기출][1][2014-2]근로자의 임금채권과 사용자의 채권 간 상계 가능성</w:t>
      </w:r>
    </w:p>
    <w:p w:rsidR="00CB16F7" w:rsidRDefault="00CB16F7" w:rsidP="00CB16F7">
      <w:pPr>
        <w:jc w:val="both"/>
      </w:pPr>
    </w:p>
    <w:p w:rsidR="00CB16F7" w:rsidRDefault="00CB16F7" w:rsidP="00CB16F7">
      <w:pPr>
        <w:jc w:val="both"/>
      </w:pPr>
      <w:r>
        <w:rPr>
          <w:rFonts w:hint="eastAsia"/>
        </w:rPr>
        <w:t>【문제</w:t>
      </w:r>
      <w:r>
        <w:t>2】 근로자에 대하여 사용자가 가지는 채권과 근로자의 임금채권 간에 상계가 가능한지에 관한 판례법리를 설명하시오. (25점)</w:t>
      </w:r>
    </w:p>
    <w:p w:rsidR="00CB16F7" w:rsidRDefault="00CB16F7" w:rsidP="00CB16F7">
      <w:pPr>
        <w:jc w:val="both"/>
      </w:pPr>
    </w:p>
    <w:p w:rsidR="00CB16F7" w:rsidRDefault="00CB16F7" w:rsidP="00CB16F7">
      <w:pPr>
        <w:jc w:val="both"/>
      </w:pPr>
    </w:p>
    <w:sectPr w:rsidR="00CB16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F7"/>
    <w:rsid w:val="00000065"/>
    <w:rsid w:val="00CB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7EEA1-E5AC-48F7-A044-171E9FC4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16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16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16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16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16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16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16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16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16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16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16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1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1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1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1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1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16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16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16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16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16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16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16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1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16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1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