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5B05" w14:textId="77777777" w:rsidR="00710D9E" w:rsidRDefault="00710D9E" w:rsidP="00710D9E">
      <w:pPr>
        <w:jc w:val="both"/>
      </w:pPr>
      <w:r>
        <w:t>[기출][1][2018-2]기간제 근로계약 만료 시 사용자의 갱신거절이 부당해고에 해당하는지에 관한 판례법리</w:t>
      </w:r>
    </w:p>
    <w:p w14:paraId="2B44ACEE" w14:textId="77777777" w:rsidR="00710D9E" w:rsidRDefault="00710D9E" w:rsidP="00710D9E">
      <w:pPr>
        <w:jc w:val="both"/>
      </w:pPr>
    </w:p>
    <w:p w14:paraId="04AADF56" w14:textId="77777777" w:rsidR="00710D9E" w:rsidRDefault="00710D9E" w:rsidP="00710D9E">
      <w:pPr>
        <w:jc w:val="both"/>
      </w:pPr>
      <w:r>
        <w:rPr>
          <w:rFonts w:hint="eastAsia"/>
        </w:rPr>
        <w:t>【문제</w:t>
      </w:r>
      <w:r>
        <w:t>2】 기간의 정함이 있는 근로계약의 기간 만료 시 사용자의 계약갱신 거부를 부당해고라고 판단할 수 있는 경우에 대하여 판례법리에 따라 설명하시오. (25점)</w:t>
      </w:r>
    </w:p>
    <w:p w14:paraId="2A46948D" w14:textId="77777777" w:rsidR="00710D9E" w:rsidRDefault="00710D9E" w:rsidP="00710D9E">
      <w:pPr>
        <w:jc w:val="both"/>
      </w:pPr>
    </w:p>
    <w:p w14:paraId="70BDA270" w14:textId="77777777" w:rsidR="00710D9E" w:rsidRDefault="00710D9E" w:rsidP="00710D9E">
      <w:pPr>
        <w:jc w:val="both"/>
      </w:pPr>
    </w:p>
    <w:sectPr w:rsidR="00710D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9E"/>
    <w:rsid w:val="00000065"/>
    <w:rsid w:val="0071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C12B"/>
  <w15:chartTrackingRefBased/>
  <w15:docId w15:val="{748548F4-92E9-4AA0-A6E4-6E6D077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0D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0D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0D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0D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0D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0D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0D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0D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0D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0D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0D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0D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0D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0D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0D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0D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0D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0D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0D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0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