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6212D" w:rsidRDefault="00D6212D" w:rsidP="00D6212D">
      <w:pPr>
        <w:jc w:val="both"/>
      </w:pPr>
      <w:r>
        <w:t>[기출][1][2021-2]정년 도달로 근로관계가 종료된 경우 부당해고 재심판정취소소송의 소의 이익 존부</w:t>
      </w:r>
    </w:p>
    <w:p w:rsidR="00D6212D" w:rsidRDefault="00D6212D" w:rsidP="00D6212D">
      <w:pPr>
        <w:jc w:val="both"/>
      </w:pPr>
    </w:p>
    <w:p w:rsidR="00D6212D" w:rsidRDefault="00D6212D" w:rsidP="00D6212D">
      <w:pPr>
        <w:jc w:val="both"/>
      </w:pPr>
      <w:r>
        <w:rPr>
          <w:rFonts w:hint="eastAsia"/>
        </w:rPr>
        <w:t>【문제</w:t>
      </w:r>
      <w:r>
        <w:t>2】 근로자 乙은 기간의 정함이 없는 근로계약을 체결하고 근무하던 중 2020. 2. 28. 취업규칙에서 정한 징계사유와 절차에 따라 징계해고 처분을 받았다. 乙은 노동위원회에 부당해고 구제신청을 제기하였고, 관할 지방노동위원회는 2020. 6. 1., 중앙노동위원회는 2020. 9. 1. 각각 乙에 대한 해고에 정당한 이유가 있다고 보아 기</w:t>
      </w:r>
      <w:r>
        <w:rPr>
          <w:rFonts w:hint="eastAsia"/>
        </w:rPr>
        <w:t>각하였다</w:t>
      </w:r>
      <w:r>
        <w:t>. 乙은 중앙노동위원회 재심판정취소를 구하는 소송을 행정법원에 제기하였고, 소송이 진행되던 중 乙은 2020. 12. 31. 정년 도달로 당연퇴직하였다. 행정법원은 2021. 6. 1. 乙이 정년에 도달하여 당연퇴직하였으므로 소의 이익이 없다는 이유로 각하하였다. 乙의 정년 도달로 근로관계가 종료되었으므로 소의 이익이 없다는 행정법원의 각하는 정당한지 논하시오. (25점)</w:t>
      </w:r>
    </w:p>
    <w:p w:rsidR="00D6212D" w:rsidRDefault="00D6212D" w:rsidP="00D6212D">
      <w:pPr>
        <w:jc w:val="both"/>
      </w:pPr>
    </w:p>
    <w:p w:rsidR="00D6212D" w:rsidRDefault="00D6212D" w:rsidP="00D6212D">
      <w:pPr>
        <w:jc w:val="both"/>
      </w:pPr>
    </w:p>
    <w:sectPr w:rsidR="00D6212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12D"/>
    <w:rsid w:val="00000065"/>
    <w:rsid w:val="00D62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6E3CF9-399C-49D6-963A-259DBDF86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6212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621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6212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6212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6212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6212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6212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6212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6212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6212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6212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6212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621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621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621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621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621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6212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6212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621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6212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6212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621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6212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6212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6212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621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6212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621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2026-06-08T10:40:00Z</dcterms:created>
  <dcterms:modified xsi:type="dcterms:W3CDTF">2026-06-08T10:40:00Z</dcterms:modified>
</cp:coreProperties>
</file>