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5CD5" w14:textId="77777777" w:rsidR="00570559" w:rsidRDefault="00570559" w:rsidP="00570559">
      <w:pPr>
        <w:jc w:val="both"/>
      </w:pPr>
      <w:r>
        <w:t>[기출][1][2023-2]근로계약관계의 실질적 사용자 및 계약의 형태(도급, 전적, 파견)에 따른 직접고용의무 판단</w:t>
      </w:r>
    </w:p>
    <w:p w14:paraId="47C03856" w14:textId="77777777" w:rsidR="00570559" w:rsidRDefault="00570559" w:rsidP="00570559">
      <w:pPr>
        <w:jc w:val="both"/>
      </w:pPr>
    </w:p>
    <w:p w14:paraId="343E16BB" w14:textId="77777777" w:rsidR="00570559" w:rsidRDefault="00570559" w:rsidP="00570559">
      <w:pPr>
        <w:jc w:val="both"/>
      </w:pPr>
      <w:r>
        <w:rPr>
          <w:rFonts w:hint="eastAsia"/>
        </w:rPr>
        <w:t>【문제</w:t>
      </w:r>
      <w:r>
        <w:t>2】 A회사는 정보통신사업 등을 영위하는 회사인데, 2011. 10. A회사의 플랫폼 사업 부문이 분할되어 B회사가 설립되었다. A회사는 B회사의 주식 98.1%를 보유하고 있다. B회사는 2016. 12. 31. 기준 1조원이 넘는 자산과 독립적인 운영조직을 갖춘 회사이다. A회사는 B회사의 플랫폼 관련 전문성과 A회사의 마케팅 경쟁력을 결합한 신규 사업인 "플랫폼을 기반으로 한 쇼핑, 미디어, 요식사업"을 진행하였는데, 그 과정에서 B회사로부터 다수 근로자를 전출받았다. 한편 근로자 丙은 2015. 3. B회사에 입사한 직후 A회사의 "플랫폼을 기반으로 한 쇼핑, 미디어, 요식사업"으로 전출되어 관련 업무를 수행하였다. 위 전출과 관련해 A회사는 B회사와 "B회사는 전출 근로자를 고용한 사업주로서 전출 근로자와 근로관계가 있음을 보증하고 임금 지급 등 근로관계법령상의 사용자</w:t>
      </w:r>
      <w:r>
        <w:rPr>
          <w:rFonts w:hint="eastAsia"/>
        </w:rPr>
        <w:t>책임을</w:t>
      </w:r>
      <w:r>
        <w:t xml:space="preserve"> 부담하며, A회사는 B회사가 전출 근로자와의 근로관계를 유지하기 위해 소요되는 인건비를 6개월마다 정산하여 B회사에 지급한다."는 내용의 비용정산 계약을 체결하였다. 위 계약에 따라 B회사는 근로자 丙을 비롯한 전출 근로자들에게 임금을 지급하였고 A회사는 B회사에게 전출 근로자들의 임금 상당액을 지급하였다. 2017. 7. "플랫폼을 기반으로 한 쇼핑, 미디어, 요식사업"이 종료되자 丙을 비롯한 B회사의 전출 근로자들은 B회사로 복귀하여 플랫폼 </w:t>
      </w:r>
      <w:r>
        <w:rPr>
          <w:rFonts w:hint="eastAsia"/>
        </w:rPr>
        <w:t>사업</w:t>
      </w:r>
      <w:r>
        <w:t xml:space="preserve"> 업무를 담당하였다. 근로자 丙은 A회사가 자신을 직접고용 하여야 할 의무가 있다고 주장한다. 근로자 丙의 주장의 타당성에 관하여 논하시오. (25점)</w:t>
      </w:r>
    </w:p>
    <w:p w14:paraId="4CFAD575" w14:textId="77777777" w:rsidR="00570559" w:rsidRDefault="00570559" w:rsidP="00570559">
      <w:pPr>
        <w:jc w:val="both"/>
      </w:pPr>
    </w:p>
    <w:p w14:paraId="4DDBB4F5" w14:textId="77777777" w:rsidR="00570559" w:rsidRDefault="00570559" w:rsidP="00570559">
      <w:pPr>
        <w:jc w:val="both"/>
      </w:pPr>
    </w:p>
    <w:sectPr w:rsidR="005705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59"/>
    <w:rsid w:val="00000065"/>
    <w:rsid w:val="0057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E99E"/>
  <w15:chartTrackingRefBased/>
  <w15:docId w15:val="{64C7D75B-E3F7-4E20-B6C7-81AC9622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05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05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05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05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05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05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05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05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05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05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05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05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05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05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05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05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05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05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05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05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05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05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05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0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05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0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