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F9E8" w14:textId="77777777" w:rsidR="00EF4826" w:rsidRDefault="00EF4826" w:rsidP="00EF4826">
      <w:pPr>
        <w:jc w:val="both"/>
      </w:pPr>
      <w:r>
        <w:t>[기출][2][2009-2]직장점거 중 단행된 사용자의 직장폐쇄에 따른 법률적 효과</w:t>
      </w:r>
    </w:p>
    <w:p w14:paraId="66CD291C" w14:textId="77777777" w:rsidR="00EF4826" w:rsidRDefault="00EF4826" w:rsidP="00EF4826">
      <w:pPr>
        <w:jc w:val="both"/>
      </w:pPr>
    </w:p>
    <w:p w14:paraId="3200D66A" w14:textId="77777777" w:rsidR="00EF4826" w:rsidRDefault="00EF4826" w:rsidP="00EF4826">
      <w:pPr>
        <w:jc w:val="both"/>
      </w:pPr>
      <w:r>
        <w:rPr>
          <w:rFonts w:hint="eastAsia"/>
        </w:rPr>
        <w:t>【문제</w:t>
      </w:r>
      <w:r>
        <w:t>2】 노동조합이 정당하게 직장점거를 하던 도중, 사용자가 직장폐쇄를 한 경우의 법률효과에 대하여 설명하시오. (25점)</w:t>
      </w:r>
    </w:p>
    <w:p w14:paraId="4409EF24" w14:textId="77777777" w:rsidR="00EF4826" w:rsidRDefault="00EF4826" w:rsidP="00EF4826">
      <w:pPr>
        <w:jc w:val="both"/>
      </w:pPr>
    </w:p>
    <w:p w14:paraId="0D54D0DE" w14:textId="652E80A4" w:rsidR="00EF4826" w:rsidRDefault="00EF4826" w:rsidP="00EF4826">
      <w:pPr>
        <w:jc w:val="both"/>
      </w:pPr>
    </w:p>
    <w:sectPr w:rsidR="00EF48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6"/>
    <w:rsid w:val="00000065"/>
    <w:rsid w:val="00E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9F6B"/>
  <w15:chartTrackingRefBased/>
  <w15:docId w15:val="{400D90B2-93BE-4E6D-9AF0-8E80A495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48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48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48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48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48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48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48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48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48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48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48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4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4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4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4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48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48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48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48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48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48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48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48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48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4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