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E10E" w14:textId="77777777" w:rsidR="00730275" w:rsidRDefault="00730275" w:rsidP="00730275">
      <w:pPr>
        <w:jc w:val="both"/>
      </w:pPr>
      <w:r>
        <w:t>[기출][2][2011-2]준법투쟁의 개념, 법적 성격, 유형 및 판례법리</w:t>
      </w:r>
    </w:p>
    <w:p w14:paraId="1B8892C8" w14:textId="77777777" w:rsidR="00730275" w:rsidRDefault="00730275" w:rsidP="00730275">
      <w:pPr>
        <w:jc w:val="both"/>
      </w:pPr>
    </w:p>
    <w:p w14:paraId="6173BB13" w14:textId="77777777" w:rsidR="00730275" w:rsidRDefault="00730275" w:rsidP="00730275">
      <w:pPr>
        <w:jc w:val="both"/>
      </w:pPr>
      <w:r>
        <w:rPr>
          <w:rFonts w:hint="eastAsia"/>
        </w:rPr>
        <w:t>【문제</w:t>
      </w:r>
      <w:r>
        <w:t>2】 준법투쟁에 대하여 설명하시오. (25점)</w:t>
      </w:r>
    </w:p>
    <w:p w14:paraId="2FDCBF7D" w14:textId="77777777" w:rsidR="00730275" w:rsidRDefault="00730275" w:rsidP="00730275">
      <w:pPr>
        <w:jc w:val="both"/>
      </w:pPr>
    </w:p>
    <w:p w14:paraId="42AAF45A" w14:textId="77777777" w:rsidR="00730275" w:rsidRDefault="00730275" w:rsidP="00730275">
      <w:pPr>
        <w:jc w:val="both"/>
      </w:pPr>
    </w:p>
    <w:sectPr w:rsidR="007302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75"/>
    <w:rsid w:val="00000065"/>
    <w:rsid w:val="007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32AA8"/>
  <w15:chartTrackingRefBased/>
  <w15:docId w15:val="{682B0B91-0436-4EC0-AE82-B274EE8B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302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02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02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02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02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02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02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02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02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02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02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0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0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0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0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0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02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02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02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302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0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302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02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02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302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0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