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5C12E" w14:textId="77777777" w:rsidR="009D44B7" w:rsidRDefault="009D44B7" w:rsidP="009D44B7">
      <w:pPr>
        <w:jc w:val="both"/>
      </w:pPr>
      <w:r>
        <w:t>[기출][2][2012-2]노동조합법상 노동조합 참가가 금지되는 사용자 및 그 이익대표자의 범위와 판단 기준</w:t>
      </w:r>
    </w:p>
    <w:p w14:paraId="6E5206C1" w14:textId="77777777" w:rsidR="009D44B7" w:rsidRDefault="009D44B7" w:rsidP="009D44B7">
      <w:pPr>
        <w:jc w:val="both"/>
      </w:pPr>
    </w:p>
    <w:p w14:paraId="44F0B4D6" w14:textId="77777777" w:rsidR="009D44B7" w:rsidRDefault="009D44B7" w:rsidP="009D44B7">
      <w:pPr>
        <w:jc w:val="both"/>
      </w:pPr>
      <w:r>
        <w:rPr>
          <w:rFonts w:hint="eastAsia"/>
        </w:rPr>
        <w:t>【문제</w:t>
      </w:r>
      <w:r>
        <w:t>2】 노동조합 및 노동관계조정법상 노동조합 참가가 금지되는 자로서, "그 사업의 근로자에 관한 사항에 대하여 사업주를 위하여 행동하는 자" 및 "항상 사용자의 이익을 대표하여 행동하는 자"에 관한 대법원 판례법리를 설명하시오. (25점)</w:t>
      </w:r>
    </w:p>
    <w:p w14:paraId="476016FD" w14:textId="77777777" w:rsidR="009D44B7" w:rsidRDefault="009D44B7" w:rsidP="009D44B7">
      <w:pPr>
        <w:jc w:val="both"/>
      </w:pPr>
    </w:p>
    <w:p w14:paraId="62D5BDFD" w14:textId="615650A1" w:rsidR="009D44B7" w:rsidRDefault="009D44B7" w:rsidP="009D44B7">
      <w:pPr>
        <w:jc w:val="both"/>
      </w:pPr>
    </w:p>
    <w:sectPr w:rsidR="009D44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B7"/>
    <w:rsid w:val="00000065"/>
    <w:rsid w:val="009D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B970"/>
  <w15:chartTrackingRefBased/>
  <w15:docId w15:val="{87729B54-C031-45B8-91E9-7763F49C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4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4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4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4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4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4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4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4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4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4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4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4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4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4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4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4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4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4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4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4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