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D836" w14:textId="77777777" w:rsidR="00877684" w:rsidRDefault="00877684" w:rsidP="00877684">
      <w:pPr>
        <w:jc w:val="both"/>
      </w:pPr>
      <w:r>
        <w:t>[기출][2][2014-2]사용자의 언론의 자유와 부당노동행위의 관계</w:t>
      </w:r>
    </w:p>
    <w:p w14:paraId="321E2D63" w14:textId="77777777" w:rsidR="00877684" w:rsidRDefault="00877684" w:rsidP="00877684">
      <w:pPr>
        <w:jc w:val="both"/>
      </w:pPr>
    </w:p>
    <w:p w14:paraId="7AD15F47" w14:textId="77777777" w:rsidR="00877684" w:rsidRDefault="00877684" w:rsidP="00877684">
      <w:pPr>
        <w:jc w:val="both"/>
      </w:pPr>
      <w:r>
        <w:rPr>
          <w:rFonts w:hint="eastAsia"/>
        </w:rPr>
        <w:t>【문제</w:t>
      </w:r>
      <w:r>
        <w:t>2】 사용자의 언론의 자유와 관련하여 부당노동행위의 성립 여부에 대한 판례법리를 설명하시오. (25점)</w:t>
      </w:r>
    </w:p>
    <w:p w14:paraId="56A76036" w14:textId="77777777" w:rsidR="00877684" w:rsidRDefault="00877684" w:rsidP="00877684">
      <w:pPr>
        <w:jc w:val="both"/>
      </w:pPr>
    </w:p>
    <w:p w14:paraId="691C3C9C" w14:textId="4D41214D" w:rsidR="00877684" w:rsidRDefault="00877684" w:rsidP="00877684">
      <w:pPr>
        <w:jc w:val="both"/>
      </w:pPr>
    </w:p>
    <w:sectPr w:rsidR="008776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84"/>
    <w:rsid w:val="00000065"/>
    <w:rsid w:val="0087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71D7"/>
  <w15:chartTrackingRefBased/>
  <w15:docId w15:val="{D59E40E4-86F0-4C58-A15F-78E9E001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76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7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76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76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76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76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76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76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76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76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76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7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7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7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7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76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76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76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7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7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76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76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76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76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7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