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50A61" w14:textId="77777777" w:rsidR="00D56059" w:rsidRDefault="00D56059" w:rsidP="00D56059">
      <w:pPr>
        <w:jc w:val="both"/>
      </w:pPr>
      <w:r>
        <w:t>[기출][2][2018-2]직장폐쇄 후 조합원들의 임원회의실 점거 지속 및 퇴거요구 불응에 따른 정당성 상실 여부</w:t>
      </w:r>
    </w:p>
    <w:p w14:paraId="261C285F" w14:textId="77777777" w:rsidR="00D56059" w:rsidRDefault="00D56059" w:rsidP="00D56059">
      <w:pPr>
        <w:jc w:val="both"/>
      </w:pPr>
    </w:p>
    <w:p w14:paraId="2145852D" w14:textId="77777777" w:rsidR="00D56059" w:rsidRDefault="00D56059" w:rsidP="00D56059">
      <w:pPr>
        <w:jc w:val="both"/>
      </w:pPr>
      <w:r>
        <w:rPr>
          <w:rFonts w:hint="eastAsia"/>
        </w:rPr>
        <w:t>【문제</w:t>
      </w:r>
      <w:r>
        <w:t>2】 노동조합의 조합원들이 회사의 임원회의실을 점거하여 쟁의행위를 하던 중 직장폐쇄를 단행한 사용자로부터 퇴거요구를 받았으나 이에 불응한 채 직장점거를 계속할 경우 그 정당성에 대하여 판례법리에 따라 설명하시오. (25점)</w:t>
      </w:r>
    </w:p>
    <w:p w14:paraId="0312DFD3" w14:textId="77777777" w:rsidR="00D56059" w:rsidRDefault="00D56059" w:rsidP="00D56059">
      <w:pPr>
        <w:jc w:val="both"/>
      </w:pPr>
    </w:p>
    <w:p w14:paraId="06215847" w14:textId="77777777" w:rsidR="00D56059" w:rsidRDefault="00D56059" w:rsidP="00D56059">
      <w:pPr>
        <w:jc w:val="both"/>
      </w:pPr>
    </w:p>
    <w:sectPr w:rsidR="00D5605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059"/>
    <w:rsid w:val="00000065"/>
    <w:rsid w:val="00D56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DD678"/>
  <w15:chartTrackingRefBased/>
  <w15:docId w15:val="{0E57D7F9-18F2-4E49-9ACA-B2EBC1542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5605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56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560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5605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5605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5605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5605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5605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5605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5605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5605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5605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560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560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560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560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560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5605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5605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56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560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560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56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5605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5605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5605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56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5605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560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