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1F5" w:rsidRDefault="00EE21F5" w:rsidP="00EE21F5">
      <w:pPr>
        <w:jc w:val="both"/>
      </w:pPr>
      <w:r>
        <w:t>[기출][2][2019-2]부당노동행위의 주체로서 사용자 개념의 확장</w:t>
      </w:r>
    </w:p>
    <w:p w:rsidR="00EE21F5" w:rsidRDefault="00EE21F5" w:rsidP="00EE21F5">
      <w:pPr>
        <w:jc w:val="both"/>
      </w:pPr>
    </w:p>
    <w:p w:rsidR="00EE21F5" w:rsidRDefault="00EE21F5" w:rsidP="00EE21F5">
      <w:pPr>
        <w:jc w:val="both"/>
      </w:pPr>
      <w:r>
        <w:rPr>
          <w:rFonts w:hint="eastAsia"/>
        </w:rPr>
        <w:t>【문제</w:t>
      </w:r>
      <w:r>
        <w:t>2】 원청인 A회사 내에는 하청업체 근로자들로 구성된 노동조합 및 노동관계조정법에 의거한 하청노동조합이 설립되어 있다. 하청노동조합은 정당한 노동조합활동에 대하여 A회사가 지배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개입을</w:t>
      </w:r>
      <w:r>
        <w:t xml:space="preserve"> 하였다는 것을 이유로 A회사를 상대로 부당노동행위 구제신청을 하였다. 이 사안에서 A회사가 부당노동행위의 주체가 될 수 있는지를 판례법리에 의거하여 설명하시오. (25점)</w:t>
      </w:r>
    </w:p>
    <w:p w:rsidR="00EE21F5" w:rsidRDefault="00EE21F5" w:rsidP="00EE21F5">
      <w:pPr>
        <w:jc w:val="both"/>
      </w:pPr>
    </w:p>
    <w:p w:rsidR="00EE21F5" w:rsidRDefault="00EE21F5" w:rsidP="00EE21F5">
      <w:pPr>
        <w:jc w:val="both"/>
      </w:pPr>
    </w:p>
    <w:sectPr w:rsidR="00EE21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F5"/>
    <w:rsid w:val="00000065"/>
    <w:rsid w:val="00E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0730B-5B22-4C3A-BC6C-0FEB1977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21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21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21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21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21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21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21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21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21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21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21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21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21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21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21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21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21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21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21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