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644C" w:rsidRDefault="0088644C" w:rsidP="0088644C">
      <w:pPr>
        <w:jc w:val="both"/>
      </w:pPr>
      <w:r>
        <w:t>[예상][1][02.04-2]경업금지약정의 효력, 회사의 전직금지 청구 가능 여부</w:t>
      </w:r>
    </w:p>
    <w:p w:rsidR="0088644C" w:rsidRDefault="0088644C" w:rsidP="0088644C">
      <w:pPr>
        <w:jc w:val="both"/>
      </w:pPr>
    </w:p>
    <w:p w:rsidR="0088644C" w:rsidRDefault="0088644C" w:rsidP="0088644C">
      <w:pPr>
        <w:jc w:val="both"/>
      </w:pPr>
      <w:r>
        <w:rPr>
          <w:rFonts w:hint="eastAsia"/>
        </w:rPr>
        <w:t>【문제</w:t>
      </w:r>
      <w:r>
        <w:t>2.4】</w:t>
      </w:r>
    </w:p>
    <w:p w:rsidR="0088644C" w:rsidRDefault="0088644C" w:rsidP="0088644C">
      <w:pPr>
        <w:jc w:val="both"/>
      </w:pPr>
      <w:r>
        <w:t>&lt;사례&gt;</w:t>
      </w:r>
    </w:p>
    <w:p w:rsidR="0088644C" w:rsidRDefault="0088644C" w:rsidP="0088644C">
      <w:pPr>
        <w:jc w:val="both"/>
      </w:pPr>
      <w:r>
        <w:rPr>
          <w:rFonts w:hint="eastAsia"/>
        </w:rPr>
        <w:t>반도체</w:t>
      </w:r>
      <w:r>
        <w:t xml:space="preserve"> 설계 전문 기업인 A사는 최근 핵심 기술인 "초정밀 회로 설계도"의 유출로 큰 타격을 입었다. A사는 신규 채용 및 퇴직 관리 과정에서 다음과 같은 세 가지 사건에 직면하였다. 각 물음에 대하여 법적 쟁점을 논하시오.</w:t>
      </w:r>
    </w:p>
    <w:p w:rsidR="0088644C" w:rsidRDefault="0088644C" w:rsidP="0088644C">
      <w:pPr>
        <w:jc w:val="both"/>
      </w:pPr>
    </w:p>
    <w:p w:rsidR="0088644C" w:rsidRDefault="0088644C" w:rsidP="0088644C">
      <w:pPr>
        <w:jc w:val="both"/>
      </w:pPr>
      <w:r>
        <w:t>(물음2) A사에서 10년간 근무하며 핵심 설계 기술을 담당했던 乙은 퇴직 시 "퇴직 후 2년간 반도체 설계 업종에 종사하</w:t>
      </w:r>
      <w:r>
        <w:rPr>
          <w:rFonts w:hint="eastAsia"/>
        </w:rPr>
        <w:t>지</w:t>
      </w:r>
      <w:r>
        <w:t xml:space="preserve"> 않으며, 이를 어길 시 손해배상금 2억 원을 지급한다"는 경업금지약정을 체결하고 그 대가로 퇴직금 외에 3,000만 원의 보상금을 수령하였다. 그러나 乙은 퇴직 직후 경쟁사인 C사에 기술 고문으로 취업하였다. A사는 乙을 상대로 전직금지 가처분을 신청하고자 한다.</w:t>
      </w:r>
    </w:p>
    <w:p w:rsidR="0088644C" w:rsidRDefault="0088644C" w:rsidP="0088644C">
      <w:pPr>
        <w:jc w:val="both"/>
      </w:pPr>
    </w:p>
    <w:p w:rsidR="0088644C" w:rsidRDefault="0088644C" w:rsidP="0088644C">
      <w:pPr>
        <w:jc w:val="both"/>
      </w:pPr>
    </w:p>
    <w:sectPr w:rsidR="008864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4C"/>
    <w:rsid w:val="00000065"/>
    <w:rsid w:val="0088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18192-EC48-4BDD-9562-3A7EBE5E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64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6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64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64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64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64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64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64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64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64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64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6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6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6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6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6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64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64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6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6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64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64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64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64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6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