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AD3BF" w14:textId="77777777" w:rsidR="00B37371" w:rsidRDefault="00B37371" w:rsidP="00B37371">
      <w:pPr>
        <w:jc w:val="both"/>
      </w:pPr>
      <w:r>
        <w:t>[예상][1][03.06-2]나머지 임금 및 퇴직금 채권의 변제 순위와 조세</w:t>
      </w:r>
      <w:r>
        <w:rPr>
          <w:rFonts w:ascii="Noto Sans KR" w:eastAsia="Noto Sans KR" w:hAnsi="Noto Sans KR" w:cs="Noto Sans KR" w:hint="eastAsia"/>
        </w:rPr>
        <w:t>・</w:t>
      </w:r>
      <w:r>
        <w:rPr>
          <w:rFonts w:ascii="맑은 고딕" w:eastAsia="맑은 고딕" w:hAnsi="맑은 고딕" w:cs="맑은 고딕" w:hint="eastAsia"/>
        </w:rPr>
        <w:t>공과금</w:t>
      </w:r>
      <w:r>
        <w:t xml:space="preserve"> 및 일반 채권과의 관계</w:t>
      </w:r>
    </w:p>
    <w:p w14:paraId="00E3842B" w14:textId="77777777" w:rsidR="00B37371" w:rsidRDefault="00B37371" w:rsidP="00B37371">
      <w:pPr>
        <w:jc w:val="both"/>
      </w:pPr>
    </w:p>
    <w:p w14:paraId="6E66BE7D" w14:textId="77777777" w:rsidR="00B37371" w:rsidRDefault="00B37371" w:rsidP="00B37371">
      <w:pPr>
        <w:jc w:val="both"/>
      </w:pPr>
      <w:r>
        <w:rPr>
          <w:rFonts w:hint="eastAsia"/>
        </w:rPr>
        <w:t>【문제</w:t>
      </w:r>
      <w:r>
        <w:t>3.6】</w:t>
      </w:r>
    </w:p>
    <w:p w14:paraId="75F6FA6F" w14:textId="77777777" w:rsidR="00B37371" w:rsidRDefault="00B37371" w:rsidP="00B37371">
      <w:pPr>
        <w:jc w:val="both"/>
      </w:pPr>
      <w:r>
        <w:t>&lt;사례&gt;</w:t>
      </w:r>
    </w:p>
    <w:p w14:paraId="34565F80" w14:textId="77777777" w:rsidR="00B37371" w:rsidRDefault="00B37371" w:rsidP="00B37371">
      <w:pPr>
        <w:jc w:val="both"/>
      </w:pPr>
      <w:r>
        <w:rPr>
          <w:rFonts w:hint="eastAsia"/>
        </w:rPr>
        <w:t>섬유</w:t>
      </w:r>
      <w:r>
        <w:t xml:space="preserve"> 제조 업체인 D사는 경영 악화로 인해 2023년 12월 20일 사업장 건물이 경매에 부쳐지게 되었다. D사에는 총 50명의 근로자가 재직 중이었으며, 이들은 퇴직 전 5개월분의 임금과 5년 치의 퇴직금을 지급받지 못한 상태였다. 해당 건물의 매각 대금은 총 10억 원이며, 경매 절차에 참여한 채권자들의 현황은 다음과 </w:t>
      </w:r>
      <w:r>
        <w:rPr>
          <w:rFonts w:hint="eastAsia"/>
        </w:rPr>
        <w:t>같다</w:t>
      </w:r>
      <w:r>
        <w:t xml:space="preserve">. 첫째, 근로자 甲을 포함한 50명의 근로자들이 청구한 "최종 3개월분 임금" 1억 5천만 원과 "최종 3년분 퇴직금" 2억 원이 있다. 둘째, 건물에 대하여 경매 개시 전인 2021년에 이미 설정되어 있던 금융기관 E의 "근저당권 채권" 5억 원이 존재한다. 셋째, 근로자들이 청구한 "나머지 2개월분 임금" 1억 원과 "나머지 2년분 퇴직금" 1억 원이 있다. 넷째, 국가가 고지한 D사의 "조세 및 공과금" 채권 1억 원이 있다. 배당 절차에서 </w:t>
      </w:r>
      <w:r>
        <w:rPr>
          <w:rFonts w:hint="eastAsia"/>
        </w:rPr>
        <w:t>근로자들의</w:t>
      </w:r>
      <w:r>
        <w:t xml:space="preserve"> 임금채권과 다른 담보채권 간의 우선순위가 쟁점이 된 상황이다.</w:t>
      </w:r>
    </w:p>
    <w:p w14:paraId="735F0018" w14:textId="77777777" w:rsidR="00B37371" w:rsidRDefault="00B37371" w:rsidP="00B37371">
      <w:pPr>
        <w:jc w:val="both"/>
      </w:pPr>
    </w:p>
    <w:p w14:paraId="1E7DCFDB" w14:textId="77777777" w:rsidR="00B37371" w:rsidRDefault="00B37371" w:rsidP="00B37371">
      <w:pPr>
        <w:jc w:val="both"/>
      </w:pPr>
      <w:r>
        <w:t>(물음2) 최우선변제 대상에 해당하지 않는 "나머지 임금 및 퇴직금 채권"의 변제 순위에 대하여 조세</w:t>
      </w:r>
      <w:r>
        <w:rPr>
          <w:rFonts w:ascii="Noto Sans KR" w:eastAsia="Noto Sans KR" w:hAnsi="Noto Sans KR" w:cs="Noto Sans KR" w:hint="eastAsia"/>
        </w:rPr>
        <w:t>・</w:t>
      </w:r>
      <w:r>
        <w:rPr>
          <w:rFonts w:ascii="맑은 고딕" w:eastAsia="맑은 고딕" w:hAnsi="맑은 고딕" w:cs="맑은 고딕" w:hint="eastAsia"/>
        </w:rPr>
        <w:t>공과금</w:t>
      </w:r>
      <w:r>
        <w:t xml:space="preserve"> 및 일반 채권과의 관계를 중심으로 논하시오. (25점)</w:t>
      </w:r>
    </w:p>
    <w:p w14:paraId="7F632946" w14:textId="77777777" w:rsidR="00B37371" w:rsidRDefault="00B37371" w:rsidP="00B37371">
      <w:pPr>
        <w:jc w:val="both"/>
      </w:pPr>
    </w:p>
    <w:p w14:paraId="03A78340" w14:textId="5B9BB45D" w:rsidR="00B37371" w:rsidRDefault="00B37371" w:rsidP="00B37371">
      <w:pPr>
        <w:jc w:val="both"/>
      </w:pPr>
    </w:p>
    <w:sectPr w:rsidR="00B3737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371"/>
    <w:rsid w:val="00000065"/>
    <w:rsid w:val="00B3737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18E26"/>
  <w15:chartTrackingRefBased/>
  <w15:docId w15:val="{27F125AC-FACA-4583-84E2-91DFC4AE0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3737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3737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3737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3737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3737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3737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3737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3737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3737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3737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3737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3737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3737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3737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3737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3737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3737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3737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3737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3737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3737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3737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37371"/>
    <w:pPr>
      <w:spacing w:before="160"/>
      <w:jc w:val="center"/>
    </w:pPr>
    <w:rPr>
      <w:i/>
      <w:iCs/>
      <w:color w:val="404040" w:themeColor="text1" w:themeTint="BF"/>
    </w:rPr>
  </w:style>
  <w:style w:type="character" w:customStyle="1" w:styleId="Char1">
    <w:name w:val="인용 Char"/>
    <w:basedOn w:val="a0"/>
    <w:link w:val="a5"/>
    <w:uiPriority w:val="29"/>
    <w:rsid w:val="00B37371"/>
    <w:rPr>
      <w:i/>
      <w:iCs/>
      <w:color w:val="404040" w:themeColor="text1" w:themeTint="BF"/>
    </w:rPr>
  </w:style>
  <w:style w:type="paragraph" w:styleId="a6">
    <w:name w:val="List Paragraph"/>
    <w:basedOn w:val="a"/>
    <w:uiPriority w:val="34"/>
    <w:qFormat/>
    <w:rsid w:val="00B37371"/>
    <w:pPr>
      <w:ind w:left="720"/>
      <w:contextualSpacing/>
    </w:pPr>
  </w:style>
  <w:style w:type="character" w:styleId="a7">
    <w:name w:val="Intense Emphasis"/>
    <w:basedOn w:val="a0"/>
    <w:uiPriority w:val="21"/>
    <w:qFormat/>
    <w:rsid w:val="00B37371"/>
    <w:rPr>
      <w:i/>
      <w:iCs/>
      <w:color w:val="0F4761" w:themeColor="accent1" w:themeShade="BF"/>
    </w:rPr>
  </w:style>
  <w:style w:type="paragraph" w:styleId="a8">
    <w:name w:val="Intense Quote"/>
    <w:basedOn w:val="a"/>
    <w:next w:val="a"/>
    <w:link w:val="Char2"/>
    <w:uiPriority w:val="30"/>
    <w:qFormat/>
    <w:rsid w:val="00B373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37371"/>
    <w:rPr>
      <w:i/>
      <w:iCs/>
      <w:color w:val="0F4761" w:themeColor="accent1" w:themeShade="BF"/>
    </w:rPr>
  </w:style>
  <w:style w:type="character" w:styleId="a9">
    <w:name w:val="Intense Reference"/>
    <w:basedOn w:val="a0"/>
    <w:uiPriority w:val="32"/>
    <w:qFormat/>
    <w:rsid w:val="00B373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Words>
  <Characters>550</Characters>
  <Application>Microsoft Office Word</Application>
  <DocSecurity>0</DocSecurity>
  <Lines>4</Lines>
  <Paragraphs>1</Paragraphs>
  <ScaleCrop>false</ScaleCrop>
  <Company/>
  <LinksUpToDate>false</LinksUpToDate>
  <CharactersWithSpaces>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