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7E732" w14:textId="77777777" w:rsidR="00845944" w:rsidRDefault="00845944" w:rsidP="00845944">
      <w:pPr>
        <w:jc w:val="both"/>
      </w:pPr>
      <w:r>
        <w:t>[예상][2][13.07-2]사무직 근로자에 대한 효력확장 여부 및 확장의 범위(채무적 부분 포함 여부)</w:t>
      </w:r>
    </w:p>
    <w:p w14:paraId="41D2E430" w14:textId="77777777" w:rsidR="00845944" w:rsidRDefault="00845944" w:rsidP="00845944">
      <w:pPr>
        <w:jc w:val="both"/>
      </w:pPr>
    </w:p>
    <w:p w14:paraId="3EA3A4DB" w14:textId="77777777" w:rsidR="00845944" w:rsidRDefault="00845944" w:rsidP="00845944">
      <w:pPr>
        <w:jc w:val="both"/>
      </w:pPr>
      <w:r>
        <w:rPr>
          <w:rFonts w:hint="eastAsia"/>
        </w:rPr>
        <w:t>【문제</w:t>
      </w:r>
      <w:r>
        <w:t>13.7】</w:t>
      </w:r>
    </w:p>
    <w:p w14:paraId="1EE3E3DD" w14:textId="77777777" w:rsidR="00845944" w:rsidRDefault="00845944" w:rsidP="00845944">
      <w:pPr>
        <w:jc w:val="both"/>
      </w:pPr>
      <w:r>
        <w:t>&lt;사례&gt;</w:t>
      </w:r>
    </w:p>
    <w:p w14:paraId="52B23B23" w14:textId="77777777" w:rsidR="00845944" w:rsidRDefault="00845944" w:rsidP="00845944">
      <w:pPr>
        <w:jc w:val="both"/>
      </w:pPr>
      <w:r>
        <w:rPr>
          <w:rFonts w:hint="eastAsia"/>
        </w:rPr>
        <w:t>금속가공업을</w:t>
      </w:r>
      <w:r>
        <w:t xml:space="preserve"> 영위하는 A사는 상시 200명의 근로자를 고용하고 있다. A사에는 생산직 근로자 160명을 조직대상으로 하는 B노동조합이 결성되어 있으며, B노동조합에는 전체 생산직 근로자 중 130명이 가입해 있다. 나머지 생산직 근로자 30명은 어떠한 노동조합에도 가입하지 않은 비조합원이다. A사와 B노동조합은 2024년 </w:t>
      </w:r>
      <w:r>
        <w:rPr>
          <w:rFonts w:hint="eastAsia"/>
        </w:rPr>
        <w:t>임금교섭을</w:t>
      </w:r>
      <w:r>
        <w:t xml:space="preserve"> 통해 전년도 대비 기본급 5% 인상 및 경영성과급 200% 지급을 골자로 하는 단체협약을 체결하였다. 이후 비조합원인 생산직 근로자 30명은 해당 단체협약의 내용이 자신들에게도 적용되어야 한다고 주장하며 소급분 지급을 요구하였다. 반면 A사는 해당 단체협약은 B노동조합원에게만 적용되는 것이 원칙이며, 비조합원인 30명은 개별 근로계약에 따라 임금이 결정되어야 한다고 맞서고 있다. 또한 A사에는 사무직 근로자 40명이 별도로 근무하고 있으며, </w:t>
      </w:r>
      <w:r>
        <w:rPr>
          <w:rFonts w:hint="eastAsia"/>
        </w:rPr>
        <w:t>이들</w:t>
      </w:r>
      <w:r>
        <w:t xml:space="preserve"> 역시 단체협약의 효력확장이 자신들에게도 미치는지에 대해 관심을 보이고 있다.</w:t>
      </w:r>
    </w:p>
    <w:p w14:paraId="2B50A6E7" w14:textId="77777777" w:rsidR="00845944" w:rsidRDefault="00845944" w:rsidP="00845944">
      <w:pPr>
        <w:jc w:val="both"/>
      </w:pPr>
    </w:p>
    <w:p w14:paraId="6BAAEF66" w14:textId="77777777" w:rsidR="00845944" w:rsidRDefault="00845944" w:rsidP="00845944">
      <w:pPr>
        <w:jc w:val="both"/>
      </w:pPr>
      <w:r>
        <w:t>(물음2) 만약 생산직 비조합원들에게 효력확장이 인정된다면, 사무직 근로자 40명에게도 해당 단체협약의 효력이 미칠 수 있는지 여부를 동종 근로자성 판단 기준을 중심으로 논하시오. 또한 효력확장이 인정되는 경우 확장의 범위에 채무적 부분도 포함되는지 여부를 서술하시오.(25점)</w:t>
      </w:r>
    </w:p>
    <w:p w14:paraId="32AE0F61" w14:textId="77777777" w:rsidR="00845944" w:rsidRDefault="00845944" w:rsidP="00845944">
      <w:pPr>
        <w:jc w:val="both"/>
      </w:pPr>
    </w:p>
    <w:p w14:paraId="5845CF25" w14:textId="17AF1464" w:rsidR="00845944" w:rsidRDefault="00845944" w:rsidP="00845944">
      <w:pPr>
        <w:jc w:val="both"/>
      </w:pPr>
    </w:p>
    <w:sectPr w:rsidR="00845944">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944"/>
    <w:rsid w:val="00000065"/>
    <w:rsid w:val="0084594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05734"/>
  <w15:chartTrackingRefBased/>
  <w15:docId w15:val="{6F252E15-DB48-4422-86CA-B07B700B0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84594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84594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84594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84594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84594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84594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84594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84594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84594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45944"/>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845944"/>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845944"/>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845944"/>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845944"/>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845944"/>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845944"/>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845944"/>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845944"/>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845944"/>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84594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4594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845944"/>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845944"/>
    <w:pPr>
      <w:spacing w:before="160"/>
      <w:jc w:val="center"/>
    </w:pPr>
    <w:rPr>
      <w:i/>
      <w:iCs/>
      <w:color w:val="404040" w:themeColor="text1" w:themeTint="BF"/>
    </w:rPr>
  </w:style>
  <w:style w:type="character" w:customStyle="1" w:styleId="Char1">
    <w:name w:val="인용 Char"/>
    <w:basedOn w:val="a0"/>
    <w:link w:val="a5"/>
    <w:uiPriority w:val="29"/>
    <w:rsid w:val="00845944"/>
    <w:rPr>
      <w:i/>
      <w:iCs/>
      <w:color w:val="404040" w:themeColor="text1" w:themeTint="BF"/>
    </w:rPr>
  </w:style>
  <w:style w:type="paragraph" w:styleId="a6">
    <w:name w:val="List Paragraph"/>
    <w:basedOn w:val="a"/>
    <w:uiPriority w:val="34"/>
    <w:qFormat/>
    <w:rsid w:val="00845944"/>
    <w:pPr>
      <w:ind w:left="720"/>
      <w:contextualSpacing/>
    </w:pPr>
  </w:style>
  <w:style w:type="character" w:styleId="a7">
    <w:name w:val="Intense Emphasis"/>
    <w:basedOn w:val="a0"/>
    <w:uiPriority w:val="21"/>
    <w:qFormat/>
    <w:rsid w:val="00845944"/>
    <w:rPr>
      <w:i/>
      <w:iCs/>
      <w:color w:val="0F4761" w:themeColor="accent1" w:themeShade="BF"/>
    </w:rPr>
  </w:style>
  <w:style w:type="paragraph" w:styleId="a8">
    <w:name w:val="Intense Quote"/>
    <w:basedOn w:val="a"/>
    <w:next w:val="a"/>
    <w:link w:val="Char2"/>
    <w:uiPriority w:val="30"/>
    <w:qFormat/>
    <w:rsid w:val="008459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845944"/>
    <w:rPr>
      <w:i/>
      <w:iCs/>
      <w:color w:val="0F4761" w:themeColor="accent1" w:themeShade="BF"/>
    </w:rPr>
  </w:style>
  <w:style w:type="character" w:styleId="a9">
    <w:name w:val="Intense Reference"/>
    <w:basedOn w:val="a0"/>
    <w:uiPriority w:val="32"/>
    <w:qFormat/>
    <w:rsid w:val="008459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106</Words>
  <Characters>609</Characters>
  <Application>Microsoft Office Word</Application>
  <DocSecurity>0</DocSecurity>
  <Lines>5</Lines>
  <Paragraphs>1</Paragraphs>
  <ScaleCrop>false</ScaleCrop>
  <Company/>
  <LinksUpToDate>false</LinksUpToDate>
  <CharactersWithSpaces>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